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43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8C6A5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rPr>
        <w:t>受</w:t>
      </w:r>
      <w:r>
        <w:rPr>
          <w:rFonts w:hint="eastAsia" w:ascii="宋体" w:hAnsi="宋体" w:cs="宋体"/>
          <w:b w:val="0"/>
          <w:bCs w:val="0"/>
          <w:sz w:val="24"/>
          <w:lang w:eastAsia="zh-CN"/>
        </w:rPr>
        <w:t>宁波市镇海区住发物业管理有限公司</w:t>
      </w:r>
      <w:r>
        <w:rPr>
          <w:rFonts w:hint="eastAsia" w:ascii="宋体" w:hAnsi="宋体" w:eastAsia="宋体" w:cs="宋体"/>
          <w:color w:val="auto"/>
          <w:sz w:val="24"/>
          <w:szCs w:val="24"/>
        </w:rPr>
        <w:t>委托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cs="宋体"/>
          <w:b/>
          <w:bCs w:val="0"/>
          <w:color w:val="auto"/>
          <w:sz w:val="24"/>
          <w:szCs w:val="24"/>
          <w:lang w:eastAsia="zh-CN"/>
        </w:rPr>
        <w:t>2026年</w:t>
      </w:r>
      <w:r>
        <w:rPr>
          <w:rFonts w:hint="eastAsia" w:ascii="宋体" w:hAnsi="宋体" w:cs="宋体"/>
          <w:b/>
          <w:bCs w:val="0"/>
          <w:color w:val="auto"/>
          <w:sz w:val="24"/>
          <w:szCs w:val="24"/>
          <w:lang w:val="en-US" w:eastAsia="zh-CN"/>
        </w:rPr>
        <w:t>6</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23</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B59F940">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5E10B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E7C8A2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12"/>
        <w:tblW w:w="5174" w:type="pct"/>
        <w:tblInd w:w="0" w:type="dxa"/>
        <w:tblLayout w:type="fixed"/>
        <w:tblCellMar>
          <w:top w:w="0" w:type="dxa"/>
          <w:left w:w="108" w:type="dxa"/>
          <w:bottom w:w="0" w:type="dxa"/>
          <w:right w:w="108" w:type="dxa"/>
        </w:tblCellMar>
      </w:tblPr>
      <w:tblGrid>
        <w:gridCol w:w="920"/>
        <w:gridCol w:w="1938"/>
        <w:gridCol w:w="1505"/>
        <w:gridCol w:w="1221"/>
        <w:gridCol w:w="1163"/>
        <w:gridCol w:w="1212"/>
        <w:gridCol w:w="1183"/>
        <w:gridCol w:w="1168"/>
      </w:tblGrid>
      <w:tr w14:paraId="38FD9E1F">
        <w:tblPrEx>
          <w:tblCellMar>
            <w:top w:w="0" w:type="dxa"/>
            <w:left w:w="108" w:type="dxa"/>
            <w:bottom w:w="0" w:type="dxa"/>
            <w:right w:w="108" w:type="dxa"/>
          </w:tblCellMar>
        </w:tblPrEx>
        <w:trPr>
          <w:trHeight w:val="688" w:hRule="atLeast"/>
        </w:trPr>
        <w:tc>
          <w:tcPr>
            <w:tcW w:w="446" w:type="pct"/>
            <w:tcBorders>
              <w:top w:val="single" w:color="auto" w:sz="4" w:space="0"/>
              <w:left w:val="single" w:color="auto" w:sz="4" w:space="0"/>
              <w:bottom w:val="single" w:color="auto" w:sz="4" w:space="0"/>
              <w:right w:val="single" w:color="auto" w:sz="4" w:space="0"/>
            </w:tcBorders>
            <w:noWrap w:val="0"/>
            <w:vAlign w:val="center"/>
          </w:tcPr>
          <w:p w14:paraId="4D06A6B4">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rPr>
              <w:t>序号</w:t>
            </w:r>
          </w:p>
        </w:tc>
        <w:tc>
          <w:tcPr>
            <w:tcW w:w="939" w:type="pct"/>
            <w:tcBorders>
              <w:top w:val="single" w:color="auto" w:sz="4" w:space="0"/>
              <w:left w:val="nil"/>
              <w:bottom w:val="single" w:color="auto" w:sz="4" w:space="0"/>
              <w:right w:val="single" w:color="auto" w:sz="4" w:space="0"/>
            </w:tcBorders>
            <w:noWrap w:val="0"/>
            <w:vAlign w:val="center"/>
          </w:tcPr>
          <w:p w14:paraId="2DF18F0B">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rPr>
              <w:t>标的名称</w:t>
            </w:r>
          </w:p>
        </w:tc>
        <w:tc>
          <w:tcPr>
            <w:tcW w:w="730" w:type="pct"/>
            <w:tcBorders>
              <w:top w:val="single" w:color="auto" w:sz="4" w:space="0"/>
              <w:left w:val="nil"/>
              <w:bottom w:val="single" w:color="auto" w:sz="4" w:space="0"/>
              <w:right w:val="single" w:color="auto" w:sz="4" w:space="0"/>
            </w:tcBorders>
            <w:noWrap w:val="0"/>
            <w:vAlign w:val="center"/>
          </w:tcPr>
          <w:p w14:paraId="2D49FC55">
            <w:pPr>
              <w:widowControl/>
              <w:jc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项目</w:t>
            </w:r>
          </w:p>
        </w:tc>
        <w:tc>
          <w:tcPr>
            <w:tcW w:w="592" w:type="pct"/>
            <w:tcBorders>
              <w:top w:val="single" w:color="auto" w:sz="4" w:space="0"/>
              <w:left w:val="nil"/>
              <w:bottom w:val="single" w:color="auto" w:sz="4" w:space="0"/>
              <w:right w:val="single" w:color="auto" w:sz="4" w:space="0"/>
            </w:tcBorders>
            <w:noWrap w:val="0"/>
            <w:vAlign w:val="center"/>
          </w:tcPr>
          <w:p w14:paraId="2E132B99">
            <w:pPr>
              <w:widowControl/>
              <w:jc w:val="center"/>
              <w:rPr>
                <w:rFonts w:hint="eastAsia" w:ascii="宋体" w:hAnsi="宋体" w:eastAsia="宋体" w:cs="宋体"/>
                <w:color w:val="000000"/>
                <w:kern w:val="0"/>
                <w:sz w:val="24"/>
                <w:highlight w:val="none"/>
                <w:lang w:eastAsia="zh-CN"/>
              </w:rPr>
            </w:pPr>
            <w:r>
              <w:rPr>
                <w:rFonts w:hint="eastAsia" w:ascii="宋体" w:hAnsi="宋体" w:cs="宋体"/>
                <w:color w:val="000000"/>
                <w:kern w:val="0"/>
                <w:sz w:val="24"/>
                <w:highlight w:val="none"/>
                <w:lang w:val="en-US" w:eastAsia="zh-CN"/>
              </w:rPr>
              <w:t>数量</w:t>
            </w:r>
          </w:p>
        </w:tc>
        <w:tc>
          <w:tcPr>
            <w:tcW w:w="564" w:type="pct"/>
            <w:tcBorders>
              <w:top w:val="single" w:color="auto" w:sz="4" w:space="0"/>
              <w:left w:val="nil"/>
              <w:bottom w:val="single" w:color="auto" w:sz="4" w:space="0"/>
              <w:right w:val="single" w:color="auto" w:sz="4" w:space="0"/>
            </w:tcBorders>
            <w:noWrap w:val="0"/>
            <w:vAlign w:val="center"/>
          </w:tcPr>
          <w:p w14:paraId="0E126200">
            <w:pPr>
              <w:widowControl/>
              <w:jc w:val="center"/>
              <w:rPr>
                <w:rFonts w:ascii="宋体" w:hAnsi="宋体" w:cs="宋体"/>
                <w:color w:val="000000"/>
                <w:kern w:val="0"/>
                <w:sz w:val="24"/>
                <w:highlight w:val="none"/>
              </w:rPr>
            </w:pPr>
            <w:r>
              <w:rPr>
                <w:rFonts w:hint="eastAsia" w:ascii="宋体" w:hAnsi="宋体" w:cs="宋体"/>
                <w:color w:val="000000"/>
                <w:sz w:val="24"/>
                <w:highlight w:val="none"/>
                <w:lang w:val="en-US" w:eastAsia="zh-CN"/>
              </w:rPr>
              <w:t>时间</w:t>
            </w:r>
          </w:p>
        </w:tc>
        <w:tc>
          <w:tcPr>
            <w:tcW w:w="587" w:type="pct"/>
            <w:tcBorders>
              <w:top w:val="single" w:color="auto" w:sz="4" w:space="0"/>
              <w:left w:val="nil"/>
              <w:bottom w:val="single" w:color="auto" w:sz="4" w:space="0"/>
              <w:right w:val="single" w:color="auto" w:sz="4" w:space="0"/>
            </w:tcBorders>
            <w:noWrap w:val="0"/>
            <w:vAlign w:val="center"/>
          </w:tcPr>
          <w:p w14:paraId="6061FA1D">
            <w:pPr>
              <w:widowControl/>
              <w:jc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租金起始价（元）</w:t>
            </w:r>
          </w:p>
        </w:tc>
        <w:tc>
          <w:tcPr>
            <w:tcW w:w="573" w:type="pct"/>
            <w:tcBorders>
              <w:top w:val="single" w:color="auto" w:sz="4" w:space="0"/>
              <w:left w:val="nil"/>
              <w:bottom w:val="single" w:color="auto" w:sz="4" w:space="0"/>
              <w:right w:val="single" w:color="auto" w:sz="4" w:space="0"/>
            </w:tcBorders>
            <w:noWrap/>
            <w:vAlign w:val="center"/>
          </w:tcPr>
          <w:p w14:paraId="2834DF70">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保证金（元）</w:t>
            </w:r>
          </w:p>
        </w:tc>
        <w:tc>
          <w:tcPr>
            <w:tcW w:w="566" w:type="pct"/>
            <w:tcBorders>
              <w:top w:val="single" w:color="auto" w:sz="4" w:space="0"/>
              <w:left w:val="nil"/>
              <w:bottom w:val="single" w:color="auto" w:sz="4" w:space="0"/>
              <w:right w:val="single" w:color="auto" w:sz="4" w:space="0"/>
            </w:tcBorders>
            <w:noWrap/>
            <w:vAlign w:val="center"/>
          </w:tcPr>
          <w:p w14:paraId="68596B8A">
            <w:pPr>
              <w:spacing w:line="260" w:lineRule="exact"/>
              <w:ind w:right="200"/>
              <w:jc w:val="center"/>
              <w:rPr>
                <w:rFonts w:hint="eastAsia" w:ascii="宋体" w:hAnsi="宋体" w:eastAsia="宋体" w:cs="宋体"/>
                <w:color w:val="000000"/>
                <w:sz w:val="24"/>
                <w:highlight w:val="none"/>
                <w:lang w:eastAsia="zh-CN"/>
              </w:rPr>
            </w:pPr>
            <w:r>
              <w:rPr>
                <w:rFonts w:hint="eastAsia" w:ascii="宋体" w:hAnsi="宋体" w:cs="宋体"/>
                <w:color w:val="000000"/>
                <w:sz w:val="24"/>
                <w:highlight w:val="none"/>
                <w:lang w:val="en-US" w:eastAsia="zh-CN"/>
              </w:rPr>
              <w:t>备注</w:t>
            </w:r>
          </w:p>
        </w:tc>
      </w:tr>
      <w:tr w14:paraId="447822B6">
        <w:tblPrEx>
          <w:tblCellMar>
            <w:top w:w="0" w:type="dxa"/>
            <w:left w:w="108" w:type="dxa"/>
            <w:bottom w:w="0" w:type="dxa"/>
            <w:right w:w="108" w:type="dxa"/>
          </w:tblCellMar>
        </w:tblPrEx>
        <w:trPr>
          <w:trHeight w:val="510" w:hRule="atLeast"/>
        </w:trPr>
        <w:tc>
          <w:tcPr>
            <w:tcW w:w="446" w:type="pct"/>
            <w:vMerge w:val="restart"/>
            <w:tcBorders>
              <w:top w:val="single" w:color="auto" w:sz="4" w:space="0"/>
              <w:left w:val="single" w:color="auto" w:sz="4" w:space="0"/>
              <w:right w:val="single" w:color="auto" w:sz="8" w:space="0"/>
            </w:tcBorders>
            <w:noWrap w:val="0"/>
            <w:vAlign w:val="center"/>
          </w:tcPr>
          <w:p w14:paraId="60F25F60">
            <w:pPr>
              <w:widowControl/>
              <w:jc w:val="center"/>
              <w:rPr>
                <w:rFonts w:hint="eastAsia"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1</w:t>
            </w:r>
          </w:p>
        </w:tc>
        <w:tc>
          <w:tcPr>
            <w:tcW w:w="939" w:type="pct"/>
            <w:vMerge w:val="restart"/>
            <w:tcBorders>
              <w:top w:val="single" w:color="auto" w:sz="4" w:space="0"/>
              <w:left w:val="nil"/>
              <w:right w:val="single" w:color="auto" w:sz="8" w:space="0"/>
            </w:tcBorders>
            <w:noWrap w:val="0"/>
            <w:vAlign w:val="center"/>
          </w:tcPr>
          <w:p w14:paraId="0FE62064">
            <w:pPr>
              <w:widowControl/>
              <w:jc w:val="center"/>
              <w:rPr>
                <w:rFonts w:hint="default" w:ascii="宋体" w:hAnsi="宋体" w:cs="宋体"/>
                <w:color w:val="000000"/>
                <w:kern w:val="0"/>
                <w:sz w:val="24"/>
                <w:highlight w:val="none"/>
                <w:lang w:val="en-US"/>
              </w:rPr>
            </w:pPr>
            <w:r>
              <w:rPr>
                <w:rFonts w:hint="eastAsia" w:ascii="宋体" w:hAnsi="宋体" w:eastAsia="宋体" w:cs="宋体"/>
                <w:color w:val="000000"/>
                <w:kern w:val="0"/>
                <w:sz w:val="24"/>
                <w:highlight w:val="none"/>
                <w:lang w:val="en-US" w:eastAsia="zh-CN"/>
              </w:rPr>
              <w:t>河山悦府广</w:t>
            </w:r>
            <w:r>
              <w:rPr>
                <w:rFonts w:hint="eastAsia" w:ascii="宋体" w:hAnsi="宋体" w:cs="宋体"/>
                <w:color w:val="000000"/>
                <w:kern w:val="0"/>
                <w:sz w:val="24"/>
                <w:highlight w:val="none"/>
                <w:lang w:val="en-US" w:eastAsia="zh-CN"/>
              </w:rPr>
              <w:t>告位经营权</w:t>
            </w:r>
          </w:p>
        </w:tc>
        <w:tc>
          <w:tcPr>
            <w:tcW w:w="730" w:type="pct"/>
            <w:tcBorders>
              <w:top w:val="single" w:color="auto" w:sz="4" w:space="0"/>
              <w:left w:val="nil"/>
              <w:bottom w:val="single" w:color="auto" w:sz="4" w:space="0"/>
              <w:right w:val="single" w:color="auto" w:sz="8" w:space="0"/>
            </w:tcBorders>
            <w:noWrap w:val="0"/>
            <w:vAlign w:val="center"/>
          </w:tcPr>
          <w:p w14:paraId="24B36CDA">
            <w:pPr>
              <w:widowControl/>
              <w:jc w:val="center"/>
              <w:rPr>
                <w:rFonts w:hint="eastAsia" w:ascii="宋体" w:hAnsi="宋体" w:eastAsia="宋体" w:cs="宋体"/>
                <w:color w:val="000000"/>
                <w:kern w:val="0"/>
                <w:sz w:val="24"/>
                <w:highlight w:val="none"/>
                <w:lang w:val="en-US" w:eastAsia="zh-CN"/>
              </w:rPr>
            </w:pPr>
            <w:r>
              <w:rPr>
                <w:rFonts w:hint="eastAsia" w:ascii="宋体" w:hAnsi="宋体" w:eastAsia="宋体" w:cs="宋体"/>
                <w:color w:val="000000"/>
                <w:kern w:val="0"/>
                <w:sz w:val="24"/>
                <w:highlight w:val="none"/>
                <w:lang w:val="en-US" w:eastAsia="zh-CN"/>
              </w:rPr>
              <w:t>集中设摊</w:t>
            </w:r>
          </w:p>
        </w:tc>
        <w:tc>
          <w:tcPr>
            <w:tcW w:w="592" w:type="pct"/>
            <w:tcBorders>
              <w:top w:val="single" w:color="auto" w:sz="4" w:space="0"/>
              <w:left w:val="nil"/>
              <w:bottom w:val="single" w:color="auto" w:sz="4" w:space="0"/>
              <w:right w:val="single" w:color="auto" w:sz="8" w:space="0"/>
            </w:tcBorders>
            <w:noWrap w:val="0"/>
            <w:vAlign w:val="center"/>
          </w:tcPr>
          <w:p w14:paraId="1EE50435">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3处</w:t>
            </w:r>
          </w:p>
        </w:tc>
        <w:tc>
          <w:tcPr>
            <w:tcW w:w="564" w:type="pct"/>
            <w:tcBorders>
              <w:top w:val="single" w:color="auto" w:sz="4" w:space="0"/>
              <w:left w:val="nil"/>
              <w:bottom w:val="single" w:color="auto" w:sz="4" w:space="0"/>
              <w:right w:val="single" w:color="auto" w:sz="8" w:space="0"/>
            </w:tcBorders>
            <w:noWrap w:val="0"/>
            <w:vAlign w:val="center"/>
          </w:tcPr>
          <w:p w14:paraId="4A0ACAB0">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1个月</w:t>
            </w:r>
          </w:p>
        </w:tc>
        <w:tc>
          <w:tcPr>
            <w:tcW w:w="587" w:type="pct"/>
            <w:vMerge w:val="restart"/>
            <w:tcBorders>
              <w:left w:val="nil"/>
              <w:right w:val="nil"/>
            </w:tcBorders>
            <w:noWrap w:val="0"/>
            <w:vAlign w:val="center"/>
          </w:tcPr>
          <w:p w14:paraId="6BBF90A5">
            <w:pPr>
              <w:widowControl/>
              <w:jc w:val="center"/>
              <w:textAlignment w:val="center"/>
              <w:rPr>
                <w:rFonts w:hint="default" w:ascii="宋体" w:hAnsi="宋体" w:cs="宋体"/>
                <w:color w:val="000000"/>
                <w:kern w:val="0"/>
                <w:sz w:val="24"/>
                <w:highlight w:val="none"/>
                <w:lang w:val="en-US" w:eastAsia="zh-CN" w:bidi="ar"/>
              </w:rPr>
            </w:pPr>
            <w:r>
              <w:rPr>
                <w:rFonts w:hint="eastAsia" w:ascii="宋体" w:hAnsi="宋体" w:cs="宋体"/>
                <w:color w:val="000000"/>
                <w:kern w:val="0"/>
                <w:sz w:val="24"/>
                <w:highlight w:val="none"/>
                <w:lang w:val="en-US" w:eastAsia="zh-CN" w:bidi="ar"/>
              </w:rPr>
              <w:t>23400</w:t>
            </w:r>
          </w:p>
        </w:tc>
        <w:tc>
          <w:tcPr>
            <w:tcW w:w="573" w:type="pct"/>
            <w:vMerge w:val="restart"/>
            <w:tcBorders>
              <w:top w:val="single" w:color="auto" w:sz="4" w:space="0"/>
              <w:left w:val="single" w:color="auto" w:sz="4" w:space="0"/>
              <w:right w:val="single" w:color="auto" w:sz="4" w:space="0"/>
            </w:tcBorders>
            <w:noWrap w:val="0"/>
            <w:vAlign w:val="center"/>
          </w:tcPr>
          <w:p w14:paraId="51A14DF8">
            <w:pPr>
              <w:widowControl/>
              <w:jc w:val="center"/>
              <w:textAlignment w:val="center"/>
              <w:rPr>
                <w:rFonts w:hint="default" w:ascii="宋体" w:hAnsi="宋体" w:cs="宋体"/>
                <w:color w:val="000000"/>
                <w:kern w:val="0"/>
                <w:sz w:val="24"/>
                <w:highlight w:val="none"/>
                <w:lang w:val="en-US" w:eastAsia="zh-CN" w:bidi="ar"/>
              </w:rPr>
            </w:pPr>
            <w:r>
              <w:rPr>
                <w:rFonts w:hint="eastAsia" w:ascii="宋体" w:hAnsi="宋体" w:cs="宋体"/>
                <w:color w:val="000000"/>
                <w:kern w:val="0"/>
                <w:sz w:val="24"/>
                <w:highlight w:val="none"/>
                <w:lang w:val="en-US" w:eastAsia="zh-CN" w:bidi="ar"/>
              </w:rPr>
              <w:t>2000</w:t>
            </w:r>
          </w:p>
        </w:tc>
        <w:tc>
          <w:tcPr>
            <w:tcW w:w="566" w:type="pct"/>
            <w:vMerge w:val="restart"/>
            <w:tcBorders>
              <w:top w:val="single" w:color="auto" w:sz="4" w:space="0"/>
              <w:left w:val="single" w:color="auto" w:sz="4" w:space="0"/>
              <w:right w:val="single" w:color="auto" w:sz="4" w:space="0"/>
            </w:tcBorders>
            <w:noWrap w:val="0"/>
            <w:vAlign w:val="center"/>
          </w:tcPr>
          <w:p w14:paraId="62B84C1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每块不超过 </w:t>
            </w:r>
          </w:p>
          <w:p w14:paraId="5C82B931">
            <w:pPr>
              <w:keepNext w:val="0"/>
              <w:keepLines w:val="0"/>
              <w:widowControl/>
              <w:suppressLineNumbers w:val="0"/>
              <w:jc w:val="center"/>
              <w:textAlignment w:val="center"/>
              <w:rPr>
                <w:rFonts w:hint="eastAsia" w:ascii="宋体" w:hAnsi="宋体" w:cs="宋体"/>
                <w:color w:val="000000"/>
                <w:kern w:val="0"/>
                <w:sz w:val="22"/>
                <w:szCs w:val="22"/>
                <w:highlight w:val="none"/>
              </w:rPr>
            </w:pPr>
            <w:r>
              <w:rPr>
                <w:rFonts w:hint="default" w:ascii="宋体" w:hAnsi="宋体" w:eastAsia="宋体" w:cs="宋体"/>
                <w:i w:val="0"/>
                <w:iCs w:val="0"/>
                <w:color w:val="000000"/>
                <w:kern w:val="0"/>
                <w:sz w:val="22"/>
                <w:szCs w:val="22"/>
                <w:u w:val="none"/>
                <w:lang w:val="en-US" w:eastAsia="zh-CN" w:bidi="ar"/>
              </w:rPr>
              <w:t>4m*3m</w:t>
            </w:r>
          </w:p>
        </w:tc>
      </w:tr>
      <w:tr w14:paraId="265EE975">
        <w:tblPrEx>
          <w:tblCellMar>
            <w:top w:w="0" w:type="dxa"/>
            <w:left w:w="108" w:type="dxa"/>
            <w:bottom w:w="0" w:type="dxa"/>
            <w:right w:w="108" w:type="dxa"/>
          </w:tblCellMar>
        </w:tblPrEx>
        <w:trPr>
          <w:trHeight w:val="510" w:hRule="atLeast"/>
        </w:trPr>
        <w:tc>
          <w:tcPr>
            <w:tcW w:w="446" w:type="pct"/>
            <w:vMerge w:val="continue"/>
            <w:tcBorders>
              <w:left w:val="single" w:color="auto" w:sz="4" w:space="0"/>
              <w:right w:val="single" w:color="auto" w:sz="8" w:space="0"/>
            </w:tcBorders>
            <w:noWrap w:val="0"/>
            <w:vAlign w:val="center"/>
          </w:tcPr>
          <w:p w14:paraId="6640572C">
            <w:pPr>
              <w:widowControl/>
              <w:jc w:val="center"/>
              <w:rPr>
                <w:rFonts w:hint="eastAsia" w:ascii="宋体" w:hAnsi="宋体" w:eastAsia="宋体" w:cs="宋体"/>
                <w:color w:val="000000"/>
                <w:kern w:val="0"/>
                <w:sz w:val="24"/>
                <w:highlight w:val="none"/>
                <w:lang w:val="en-US" w:eastAsia="zh-CN"/>
              </w:rPr>
            </w:pPr>
          </w:p>
        </w:tc>
        <w:tc>
          <w:tcPr>
            <w:tcW w:w="939" w:type="pct"/>
            <w:vMerge w:val="continue"/>
            <w:tcBorders>
              <w:left w:val="nil"/>
              <w:right w:val="single" w:color="auto" w:sz="8" w:space="0"/>
            </w:tcBorders>
            <w:noWrap w:val="0"/>
            <w:vAlign w:val="center"/>
          </w:tcPr>
          <w:p w14:paraId="767A2111">
            <w:pPr>
              <w:widowControl/>
              <w:jc w:val="center"/>
              <w:rPr>
                <w:rFonts w:hint="eastAsia" w:ascii="宋体" w:hAnsi="宋体" w:cs="宋体"/>
                <w:color w:val="000000"/>
                <w:kern w:val="0"/>
                <w:sz w:val="24"/>
                <w:highlight w:val="none"/>
              </w:rPr>
            </w:pPr>
          </w:p>
        </w:tc>
        <w:tc>
          <w:tcPr>
            <w:tcW w:w="730" w:type="pct"/>
            <w:tcBorders>
              <w:top w:val="single" w:color="auto" w:sz="4" w:space="0"/>
              <w:left w:val="nil"/>
              <w:bottom w:val="single" w:color="auto" w:sz="4" w:space="0"/>
              <w:right w:val="single" w:color="auto" w:sz="8" w:space="0"/>
            </w:tcBorders>
            <w:noWrap w:val="0"/>
            <w:vAlign w:val="center"/>
          </w:tcPr>
          <w:p w14:paraId="05B1A42D">
            <w:pPr>
              <w:widowControl/>
              <w:jc w:val="center"/>
              <w:rPr>
                <w:rFonts w:hint="eastAsia" w:ascii="宋体" w:hAnsi="宋体" w:eastAsia="宋体" w:cs="宋体"/>
                <w:color w:val="000000"/>
                <w:kern w:val="0"/>
                <w:sz w:val="24"/>
                <w:highlight w:val="none"/>
                <w:lang w:val="en-US" w:eastAsia="zh-CN"/>
              </w:rPr>
            </w:pPr>
            <w:r>
              <w:rPr>
                <w:rFonts w:hint="eastAsia" w:ascii="宋体" w:hAnsi="宋体" w:eastAsia="宋体" w:cs="宋体"/>
                <w:color w:val="000000"/>
                <w:kern w:val="0"/>
                <w:sz w:val="24"/>
                <w:highlight w:val="none"/>
                <w:lang w:val="en-US" w:eastAsia="zh-CN"/>
              </w:rPr>
              <w:t>电梯框架</w:t>
            </w:r>
          </w:p>
          <w:p w14:paraId="0CF1D53B">
            <w:pPr>
              <w:widowControl/>
              <w:jc w:val="center"/>
              <w:rPr>
                <w:rFonts w:hint="default" w:ascii="宋体" w:hAnsi="宋体" w:eastAsia="宋体" w:cs="宋体"/>
                <w:color w:val="000000"/>
                <w:kern w:val="0"/>
                <w:sz w:val="24"/>
                <w:highlight w:val="none"/>
                <w:lang w:val="en-US" w:eastAsia="zh-CN"/>
              </w:rPr>
            </w:pPr>
            <w:r>
              <w:rPr>
                <w:rFonts w:hint="eastAsia" w:ascii="宋体" w:hAnsi="宋体" w:eastAsia="宋体" w:cs="宋体"/>
                <w:color w:val="000000"/>
                <w:kern w:val="0"/>
                <w:sz w:val="24"/>
                <w:highlight w:val="none"/>
                <w:lang w:val="en-US" w:eastAsia="zh-CN"/>
              </w:rPr>
              <w:t>（12部电梯）</w:t>
            </w:r>
          </w:p>
        </w:tc>
        <w:tc>
          <w:tcPr>
            <w:tcW w:w="592" w:type="pct"/>
            <w:tcBorders>
              <w:top w:val="single" w:color="auto" w:sz="4" w:space="0"/>
              <w:left w:val="nil"/>
              <w:bottom w:val="single" w:color="auto" w:sz="4" w:space="0"/>
              <w:right w:val="single" w:color="auto" w:sz="8" w:space="0"/>
            </w:tcBorders>
            <w:noWrap w:val="0"/>
            <w:vAlign w:val="center"/>
          </w:tcPr>
          <w:p w14:paraId="5DA39055">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24块</w:t>
            </w:r>
          </w:p>
        </w:tc>
        <w:tc>
          <w:tcPr>
            <w:tcW w:w="564" w:type="pct"/>
            <w:tcBorders>
              <w:top w:val="single" w:color="auto" w:sz="4" w:space="0"/>
              <w:left w:val="nil"/>
              <w:bottom w:val="single" w:color="auto" w:sz="4" w:space="0"/>
              <w:right w:val="single" w:color="auto" w:sz="8" w:space="0"/>
            </w:tcBorders>
            <w:noWrap w:val="0"/>
            <w:vAlign w:val="center"/>
          </w:tcPr>
          <w:p w14:paraId="07A91C07">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12个月</w:t>
            </w:r>
          </w:p>
        </w:tc>
        <w:tc>
          <w:tcPr>
            <w:tcW w:w="587" w:type="pct"/>
            <w:vMerge w:val="continue"/>
            <w:tcBorders>
              <w:left w:val="nil"/>
              <w:right w:val="nil"/>
            </w:tcBorders>
            <w:noWrap w:val="0"/>
            <w:vAlign w:val="center"/>
          </w:tcPr>
          <w:p w14:paraId="7436E0C1">
            <w:pPr>
              <w:widowControl/>
              <w:jc w:val="center"/>
              <w:textAlignment w:val="center"/>
              <w:rPr>
                <w:rFonts w:hint="eastAsia" w:ascii="宋体" w:hAnsi="宋体" w:cs="宋体"/>
                <w:color w:val="000000"/>
                <w:kern w:val="0"/>
                <w:sz w:val="24"/>
                <w:highlight w:val="none"/>
                <w:lang w:val="en-US" w:eastAsia="zh-CN" w:bidi="ar"/>
              </w:rPr>
            </w:pPr>
          </w:p>
        </w:tc>
        <w:tc>
          <w:tcPr>
            <w:tcW w:w="573" w:type="pct"/>
            <w:vMerge w:val="continue"/>
            <w:tcBorders>
              <w:left w:val="single" w:color="auto" w:sz="4" w:space="0"/>
              <w:right w:val="single" w:color="auto" w:sz="4" w:space="0"/>
            </w:tcBorders>
            <w:noWrap w:val="0"/>
            <w:vAlign w:val="center"/>
          </w:tcPr>
          <w:p w14:paraId="771210C1">
            <w:pPr>
              <w:widowControl/>
              <w:jc w:val="center"/>
              <w:textAlignment w:val="center"/>
              <w:rPr>
                <w:rFonts w:hint="eastAsia" w:ascii="宋体" w:hAnsi="宋体" w:cs="宋体"/>
                <w:color w:val="000000"/>
                <w:kern w:val="0"/>
                <w:sz w:val="24"/>
                <w:highlight w:val="none"/>
                <w:lang w:val="en-US" w:eastAsia="zh-CN" w:bidi="ar"/>
              </w:rPr>
            </w:pPr>
          </w:p>
        </w:tc>
        <w:tc>
          <w:tcPr>
            <w:tcW w:w="566" w:type="pct"/>
            <w:vMerge w:val="continue"/>
            <w:tcBorders>
              <w:left w:val="single" w:color="auto" w:sz="4" w:space="0"/>
              <w:right w:val="single" w:color="auto" w:sz="4" w:space="0"/>
            </w:tcBorders>
            <w:noWrap w:val="0"/>
            <w:vAlign w:val="center"/>
          </w:tcPr>
          <w:p w14:paraId="77A8F07D">
            <w:pPr>
              <w:widowControl/>
              <w:jc w:val="center"/>
              <w:rPr>
                <w:rFonts w:hint="eastAsia" w:ascii="宋体" w:hAnsi="宋体" w:cs="宋体"/>
                <w:color w:val="000000"/>
                <w:kern w:val="0"/>
                <w:sz w:val="22"/>
                <w:szCs w:val="22"/>
                <w:highlight w:val="none"/>
              </w:rPr>
            </w:pPr>
          </w:p>
        </w:tc>
      </w:tr>
      <w:tr w14:paraId="4E59711A">
        <w:tblPrEx>
          <w:tblCellMar>
            <w:top w:w="0" w:type="dxa"/>
            <w:left w:w="108" w:type="dxa"/>
            <w:bottom w:w="0" w:type="dxa"/>
            <w:right w:w="108" w:type="dxa"/>
          </w:tblCellMar>
        </w:tblPrEx>
        <w:trPr>
          <w:trHeight w:val="510" w:hRule="atLeast"/>
        </w:trPr>
        <w:tc>
          <w:tcPr>
            <w:tcW w:w="446" w:type="pct"/>
            <w:vMerge w:val="continue"/>
            <w:tcBorders>
              <w:left w:val="single" w:color="auto" w:sz="4" w:space="0"/>
              <w:bottom w:val="single" w:color="auto" w:sz="8" w:space="0"/>
              <w:right w:val="single" w:color="auto" w:sz="8" w:space="0"/>
            </w:tcBorders>
            <w:noWrap w:val="0"/>
            <w:vAlign w:val="center"/>
          </w:tcPr>
          <w:p w14:paraId="2F0C3B35">
            <w:pPr>
              <w:widowControl/>
              <w:jc w:val="center"/>
              <w:rPr>
                <w:rFonts w:hint="eastAsia" w:ascii="宋体" w:hAnsi="宋体" w:cs="宋体"/>
                <w:color w:val="000000"/>
                <w:kern w:val="0"/>
                <w:sz w:val="24"/>
                <w:highlight w:val="none"/>
              </w:rPr>
            </w:pPr>
          </w:p>
        </w:tc>
        <w:tc>
          <w:tcPr>
            <w:tcW w:w="939" w:type="pct"/>
            <w:vMerge w:val="continue"/>
            <w:tcBorders>
              <w:left w:val="nil"/>
              <w:bottom w:val="single" w:color="auto" w:sz="8" w:space="0"/>
              <w:right w:val="single" w:color="auto" w:sz="8" w:space="0"/>
            </w:tcBorders>
            <w:noWrap w:val="0"/>
            <w:vAlign w:val="center"/>
          </w:tcPr>
          <w:p w14:paraId="424773A0">
            <w:pPr>
              <w:widowControl/>
              <w:jc w:val="center"/>
              <w:rPr>
                <w:rFonts w:hint="eastAsia" w:ascii="宋体" w:hAnsi="宋体" w:cs="宋体"/>
                <w:color w:val="000000"/>
                <w:kern w:val="0"/>
                <w:sz w:val="24"/>
                <w:highlight w:val="none"/>
              </w:rPr>
            </w:pPr>
          </w:p>
        </w:tc>
        <w:tc>
          <w:tcPr>
            <w:tcW w:w="730" w:type="pct"/>
            <w:tcBorders>
              <w:top w:val="single" w:color="auto" w:sz="4" w:space="0"/>
              <w:left w:val="nil"/>
              <w:bottom w:val="single" w:color="auto" w:sz="8" w:space="0"/>
              <w:right w:val="single" w:color="auto" w:sz="8" w:space="0"/>
            </w:tcBorders>
            <w:noWrap w:val="0"/>
            <w:vAlign w:val="center"/>
          </w:tcPr>
          <w:p w14:paraId="53EEB820">
            <w:pPr>
              <w:widowControl/>
              <w:jc w:val="center"/>
              <w:rPr>
                <w:rFonts w:hint="default" w:ascii="宋体" w:hAnsi="宋体" w:eastAsia="宋体" w:cs="宋体"/>
                <w:color w:val="000000"/>
                <w:kern w:val="0"/>
                <w:sz w:val="24"/>
                <w:highlight w:val="none"/>
                <w:lang w:val="en-US" w:eastAsia="zh-CN"/>
              </w:rPr>
            </w:pPr>
            <w:r>
              <w:rPr>
                <w:rFonts w:hint="eastAsia" w:ascii="宋体" w:hAnsi="宋体" w:eastAsia="宋体" w:cs="宋体"/>
                <w:color w:val="000000"/>
                <w:kern w:val="0"/>
                <w:sz w:val="24"/>
                <w:highlight w:val="none"/>
                <w:lang w:val="en-US" w:eastAsia="zh-CN"/>
              </w:rPr>
              <w:t>广告桁架</w:t>
            </w:r>
          </w:p>
        </w:tc>
        <w:tc>
          <w:tcPr>
            <w:tcW w:w="592" w:type="pct"/>
            <w:tcBorders>
              <w:top w:val="single" w:color="auto" w:sz="4" w:space="0"/>
              <w:left w:val="nil"/>
              <w:bottom w:val="single" w:color="auto" w:sz="8" w:space="0"/>
              <w:right w:val="single" w:color="auto" w:sz="8" w:space="0"/>
            </w:tcBorders>
            <w:noWrap w:val="0"/>
            <w:vAlign w:val="center"/>
          </w:tcPr>
          <w:p w14:paraId="27775A7D">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3处</w:t>
            </w:r>
          </w:p>
        </w:tc>
        <w:tc>
          <w:tcPr>
            <w:tcW w:w="564" w:type="pct"/>
            <w:tcBorders>
              <w:top w:val="single" w:color="auto" w:sz="4" w:space="0"/>
              <w:left w:val="nil"/>
              <w:bottom w:val="single" w:color="auto" w:sz="8" w:space="0"/>
              <w:right w:val="single" w:color="auto" w:sz="8" w:space="0"/>
            </w:tcBorders>
            <w:noWrap w:val="0"/>
            <w:vAlign w:val="center"/>
          </w:tcPr>
          <w:p w14:paraId="6ED37A40">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6个月</w:t>
            </w:r>
          </w:p>
        </w:tc>
        <w:tc>
          <w:tcPr>
            <w:tcW w:w="587" w:type="pct"/>
            <w:vMerge w:val="continue"/>
            <w:tcBorders>
              <w:left w:val="nil"/>
              <w:bottom w:val="single" w:color="auto" w:sz="8" w:space="0"/>
              <w:right w:val="nil"/>
            </w:tcBorders>
            <w:noWrap w:val="0"/>
            <w:vAlign w:val="center"/>
          </w:tcPr>
          <w:p w14:paraId="38B11CD0">
            <w:pPr>
              <w:widowControl/>
              <w:jc w:val="center"/>
              <w:textAlignment w:val="center"/>
              <w:rPr>
                <w:rFonts w:hint="eastAsia" w:ascii="宋体" w:hAnsi="宋体" w:cs="宋体"/>
                <w:color w:val="000000"/>
                <w:kern w:val="0"/>
                <w:sz w:val="24"/>
                <w:highlight w:val="none"/>
                <w:lang w:val="en-US" w:eastAsia="zh-CN" w:bidi="ar"/>
              </w:rPr>
            </w:pPr>
          </w:p>
        </w:tc>
        <w:tc>
          <w:tcPr>
            <w:tcW w:w="573" w:type="pct"/>
            <w:vMerge w:val="continue"/>
            <w:tcBorders>
              <w:left w:val="single" w:color="auto" w:sz="4" w:space="0"/>
              <w:bottom w:val="single" w:color="auto" w:sz="4" w:space="0"/>
              <w:right w:val="single" w:color="auto" w:sz="4" w:space="0"/>
            </w:tcBorders>
            <w:noWrap w:val="0"/>
            <w:vAlign w:val="center"/>
          </w:tcPr>
          <w:p w14:paraId="5E9222E8">
            <w:pPr>
              <w:widowControl/>
              <w:jc w:val="center"/>
              <w:textAlignment w:val="center"/>
              <w:rPr>
                <w:rFonts w:hint="eastAsia" w:ascii="宋体" w:hAnsi="宋体" w:cs="宋体"/>
                <w:color w:val="000000"/>
                <w:kern w:val="0"/>
                <w:sz w:val="24"/>
                <w:highlight w:val="none"/>
                <w:lang w:val="en-US" w:eastAsia="zh-CN" w:bidi="ar"/>
              </w:rPr>
            </w:pPr>
          </w:p>
        </w:tc>
        <w:tc>
          <w:tcPr>
            <w:tcW w:w="566" w:type="pct"/>
            <w:vMerge w:val="continue"/>
            <w:tcBorders>
              <w:left w:val="single" w:color="auto" w:sz="4" w:space="0"/>
              <w:bottom w:val="single" w:color="auto" w:sz="4" w:space="0"/>
              <w:right w:val="single" w:color="auto" w:sz="4" w:space="0"/>
            </w:tcBorders>
            <w:noWrap w:val="0"/>
            <w:vAlign w:val="center"/>
          </w:tcPr>
          <w:p w14:paraId="1AB52C67">
            <w:pPr>
              <w:widowControl/>
              <w:jc w:val="center"/>
              <w:rPr>
                <w:rFonts w:hint="eastAsia" w:ascii="宋体" w:hAnsi="宋体" w:cs="宋体"/>
                <w:color w:val="000000"/>
                <w:kern w:val="0"/>
                <w:sz w:val="22"/>
                <w:szCs w:val="22"/>
                <w:highlight w:val="none"/>
              </w:rPr>
            </w:pPr>
          </w:p>
        </w:tc>
      </w:tr>
    </w:tbl>
    <w:p w14:paraId="52EA2D44">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bookmarkStart w:id="0" w:name="_GoBack"/>
      <w:bookmarkEnd w:id="0"/>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A8972E0">
      <w:pPr>
        <w:pStyle w:val="15"/>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Tahoma"/>
          <w:b w:val="0"/>
          <w:bCs w:val="0"/>
          <w:color w:val="auto"/>
          <w:kern w:val="2"/>
          <w:sz w:val="24"/>
          <w:szCs w:val="24"/>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380AE8D3">
      <w:pPr>
        <w:pStyle w:val="15"/>
        <w:keepNext w:val="0"/>
        <w:keepLines w:val="0"/>
        <w:pageBreakBefore w:val="0"/>
        <w:numPr>
          <w:ilvl w:val="0"/>
          <w:numId w:val="0"/>
        </w:numPr>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101F21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0" w:right="0" w:firstLine="480" w:firstLineChars="200"/>
        <w:jc w:val="left"/>
        <w:textAlignment w:val="auto"/>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w:t>
      </w:r>
      <w:r>
        <w:rPr>
          <w:rFonts w:hint="eastAsia" w:cs="宋体"/>
          <w:bCs/>
          <w:color w:val="auto"/>
          <w:kern w:val="2"/>
          <w:sz w:val="24"/>
          <w:szCs w:val="22"/>
          <w:lang w:val="en-US" w:eastAsia="zh-CN" w:bidi="ar-SA"/>
        </w:rPr>
        <w:t>2026年6</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22</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0110486">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w:t>
      </w:r>
      <w:r>
        <w:rPr>
          <w:rFonts w:hint="eastAsia" w:ascii="宋体" w:hAnsi="宋体" w:cs="宋体"/>
          <w:color w:val="auto"/>
          <w:sz w:val="24"/>
          <w:lang w:eastAsia="zh-CN"/>
        </w:rPr>
        <w:t>2026年</w:t>
      </w:r>
      <w:r>
        <w:rPr>
          <w:rFonts w:hint="eastAsia" w:ascii="宋体" w:hAnsi="宋体" w:cs="宋体"/>
          <w:color w:val="auto"/>
          <w:sz w:val="24"/>
          <w:lang w:val="en-US" w:eastAsia="zh-CN"/>
        </w:rPr>
        <w:t>6</w:t>
      </w:r>
      <w:r>
        <w:rPr>
          <w:rFonts w:hint="eastAsia" w:ascii="宋体" w:hAnsi="宋体" w:eastAsia="宋体" w:cs="宋体"/>
          <w:color w:val="auto"/>
          <w:sz w:val="24"/>
        </w:rPr>
        <w:t>月</w:t>
      </w:r>
      <w:r>
        <w:rPr>
          <w:rFonts w:hint="eastAsia" w:ascii="宋体" w:hAnsi="宋体" w:cs="宋体"/>
          <w:color w:val="auto"/>
          <w:sz w:val="24"/>
          <w:lang w:val="en-US" w:eastAsia="zh-CN"/>
        </w:rPr>
        <w:t>22</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9D24A30">
      <w:pPr>
        <w:pStyle w:val="10"/>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cs="宋体"/>
          <w:color w:val="auto"/>
          <w:sz w:val="24"/>
          <w:szCs w:val="24"/>
          <w:lang w:eastAsia="zh-CN"/>
        </w:rPr>
        <w:t>2026年</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22</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9C7CE3">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w:t>
      </w:r>
      <w:r>
        <w:rPr>
          <w:rFonts w:hint="eastAsia" w:ascii="宋体" w:hAnsi="宋体" w:cs="宋体"/>
          <w:color w:val="auto"/>
          <w:sz w:val="24"/>
          <w:szCs w:val="24"/>
          <w:lang w:val="en-US" w:eastAsia="zh-CN"/>
        </w:rPr>
        <w:t>标的</w:t>
      </w:r>
      <w:r>
        <w:rPr>
          <w:rFonts w:hint="eastAsia" w:ascii="宋体" w:hAnsi="宋体" w:eastAsia="宋体" w:cs="宋体"/>
          <w:color w:val="auto"/>
          <w:sz w:val="24"/>
          <w:szCs w:val="24"/>
        </w:rPr>
        <w:t>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8B8430F">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12CDA17F">
      <w:pPr>
        <w:pStyle w:val="10"/>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6602AF1">
      <w:pPr>
        <w:pStyle w:val="10"/>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3AE0B4">
      <w:pPr>
        <w:pStyle w:val="10"/>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7CD491">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17FF99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3D90C01">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签订《</w:t>
      </w:r>
      <w:r>
        <w:rPr>
          <w:rFonts w:hint="eastAsia" w:ascii="宋体" w:hAnsi="宋体" w:eastAsia="宋体" w:cs="宋体"/>
          <w:color w:val="auto"/>
          <w:sz w:val="24"/>
          <w:szCs w:val="24"/>
          <w:lang w:val="en-US" w:eastAsia="zh-CN"/>
        </w:rPr>
        <w:t>广告位招商</w:t>
      </w:r>
      <w:r>
        <w:rPr>
          <w:rFonts w:hint="eastAsia" w:ascii="宋体" w:hAnsi="宋体" w:eastAsia="宋体" w:cs="宋体"/>
          <w:color w:val="auto"/>
          <w:sz w:val="24"/>
          <w:szCs w:val="24"/>
        </w:rPr>
        <w:t>合同》并付清首期租金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eastAsia="宋体" w:cs="宋体"/>
          <w:color w:val="auto"/>
          <w:sz w:val="24"/>
          <w:szCs w:val="24"/>
          <w:lang w:val="en-US" w:eastAsia="zh-CN"/>
        </w:rPr>
        <w:t>广告位招商</w:t>
      </w:r>
      <w:r>
        <w:rPr>
          <w:rFonts w:hint="eastAsia" w:ascii="宋体" w:hAnsi="宋体" w:eastAsia="宋体" w:cs="宋体"/>
          <w:color w:val="auto"/>
          <w:sz w:val="24"/>
          <w:szCs w:val="24"/>
        </w:rPr>
        <w:t>合同》无息退还。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2ADC753">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D9A7287">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F8EF7FD">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和承租人的具体权利和义务以双方签订的《</w:t>
      </w:r>
      <w:r>
        <w:rPr>
          <w:rFonts w:hint="eastAsia" w:ascii="宋体" w:hAnsi="宋体" w:eastAsia="宋体" w:cs="宋体"/>
          <w:color w:val="auto"/>
          <w:sz w:val="24"/>
          <w:szCs w:val="24"/>
          <w:lang w:val="en-US" w:eastAsia="zh-CN"/>
        </w:rPr>
        <w:t>广告位招商</w:t>
      </w:r>
      <w:r>
        <w:rPr>
          <w:rFonts w:hint="eastAsia" w:ascii="宋体" w:hAnsi="宋体" w:eastAsia="宋体" w:cs="宋体"/>
          <w:color w:val="auto"/>
          <w:sz w:val="24"/>
          <w:szCs w:val="24"/>
        </w:rPr>
        <w:t>合同》为准。</w:t>
      </w:r>
    </w:p>
    <w:p w14:paraId="73033E5D">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C34222F">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2FA916FC">
      <w:pPr>
        <w:pStyle w:val="1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left="0" w:right="0" w:firstLine="464" w:firstLineChars="200"/>
        <w:jc w:val="both"/>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w:t>
      </w:r>
      <w:r>
        <w:rPr>
          <w:rFonts w:hint="eastAsia" w:ascii="宋体" w:hAnsi="宋体" w:cs="宋体"/>
          <w:b/>
          <w:bCs/>
          <w:color w:val="auto"/>
          <w:kern w:val="0"/>
          <w:sz w:val="24"/>
          <w:szCs w:val="24"/>
          <w:u w:val="single"/>
          <w:lang w:val="en-US" w:eastAsia="zh-CN"/>
        </w:rPr>
        <w:t>广告位</w:t>
      </w:r>
      <w:r>
        <w:rPr>
          <w:rFonts w:hint="eastAsia" w:ascii="宋体" w:hAnsi="宋体" w:eastAsia="宋体" w:cs="宋体"/>
          <w:b/>
          <w:bCs/>
          <w:color w:val="auto"/>
          <w:kern w:val="0"/>
          <w:sz w:val="24"/>
          <w:szCs w:val="24"/>
          <w:u w:val="single"/>
        </w:rPr>
        <w:t>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w:t>
      </w:r>
      <w:r>
        <w:rPr>
          <w:rFonts w:hint="eastAsia" w:ascii="宋体" w:hAnsi="宋体" w:eastAsia="宋体" w:cs="宋体"/>
          <w:color w:val="auto"/>
          <w:spacing w:val="-4"/>
          <w:sz w:val="24"/>
          <w:szCs w:val="24"/>
        </w:rPr>
        <w:t>须按《</w:t>
      </w:r>
      <w:r>
        <w:rPr>
          <w:rFonts w:hint="eastAsia" w:ascii="宋体" w:hAnsi="宋体" w:eastAsia="宋体" w:cs="宋体"/>
          <w:color w:val="auto"/>
          <w:sz w:val="24"/>
          <w:szCs w:val="24"/>
          <w:lang w:val="en-US" w:eastAsia="zh-CN"/>
        </w:rPr>
        <w:t>广告位招商</w:t>
      </w:r>
      <w:r>
        <w:rPr>
          <w:rFonts w:hint="eastAsia" w:ascii="宋体" w:hAnsi="宋体" w:eastAsia="宋体" w:cs="宋体"/>
          <w:color w:val="auto"/>
          <w:sz w:val="24"/>
          <w:szCs w:val="24"/>
        </w:rPr>
        <w:t>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sz w:val="24"/>
        </w:rPr>
        <w:t>买受人应在</w:t>
      </w:r>
      <w:r>
        <w:rPr>
          <w:rFonts w:hint="eastAsia"/>
          <w:b/>
          <w:sz w:val="24"/>
        </w:rPr>
        <w:t>成交之日起</w:t>
      </w:r>
      <w:r>
        <w:rPr>
          <w:rFonts w:hint="eastAsia"/>
          <w:b/>
          <w:sz w:val="24"/>
          <w:lang w:val="en-US" w:eastAsia="zh-CN"/>
        </w:rPr>
        <w:t>10日</w:t>
      </w:r>
      <w:r>
        <w:rPr>
          <w:rFonts w:hint="eastAsia"/>
          <w:sz w:val="24"/>
        </w:rPr>
        <w:t>之内将</w:t>
      </w:r>
      <w:r>
        <w:rPr>
          <w:rFonts w:hint="eastAsia" w:ascii="宋体" w:hAnsi="宋体" w:cs="宋体"/>
          <w:color w:val="auto"/>
          <w:spacing w:val="-4"/>
          <w:sz w:val="24"/>
          <w:szCs w:val="24"/>
          <w:lang w:val="en-US" w:eastAsia="zh-CN"/>
        </w:rPr>
        <w:t>成交款</w:t>
      </w:r>
      <w:r>
        <w:rPr>
          <w:rFonts w:hint="eastAsia" w:ascii="宋体" w:hAnsi="宋体" w:eastAsia="宋体" w:cs="宋体"/>
          <w:color w:val="auto"/>
          <w:spacing w:val="-4"/>
          <w:sz w:val="24"/>
          <w:szCs w:val="24"/>
        </w:rPr>
        <w:t>和</w:t>
      </w:r>
      <w:r>
        <w:rPr>
          <w:rFonts w:hint="eastAsia"/>
          <w:sz w:val="24"/>
        </w:rPr>
        <w:t>履约保证金</w:t>
      </w:r>
      <w:r>
        <w:rPr>
          <w:rFonts w:hint="eastAsia"/>
          <w:sz w:val="24"/>
          <w:lang w:eastAsia="zh-CN"/>
        </w:rPr>
        <w:t>（</w:t>
      </w:r>
      <w:r>
        <w:rPr>
          <w:rFonts w:hint="eastAsia" w:ascii="宋体" w:hAnsi="宋体" w:eastAsia="宋体" w:cs="宋体"/>
          <w:b/>
          <w:bCs/>
          <w:color w:val="auto"/>
          <w:spacing w:val="-4"/>
          <w:sz w:val="24"/>
          <w:szCs w:val="24"/>
          <w:u w:val="single"/>
        </w:rPr>
        <w:t>履约保证金</w:t>
      </w:r>
      <w:r>
        <w:rPr>
          <w:rFonts w:hint="eastAsia" w:ascii="宋体" w:hAnsi="宋体" w:cs="宋体"/>
          <w:b/>
          <w:bCs/>
          <w:color w:val="auto"/>
          <w:spacing w:val="-4"/>
          <w:sz w:val="24"/>
          <w:szCs w:val="24"/>
          <w:u w:val="single"/>
          <w:lang w:val="en-US" w:eastAsia="zh-CN"/>
        </w:rPr>
        <w:t>约</w:t>
      </w:r>
      <w:r>
        <w:rPr>
          <w:rFonts w:hint="eastAsia" w:ascii="宋体" w:hAnsi="宋体" w:eastAsia="宋体" w:cs="宋体"/>
          <w:b/>
          <w:bCs/>
          <w:color w:val="auto"/>
          <w:spacing w:val="-4"/>
          <w:sz w:val="24"/>
          <w:szCs w:val="24"/>
          <w:u w:val="single"/>
        </w:rPr>
        <w:t>为</w:t>
      </w:r>
      <w:r>
        <w:rPr>
          <w:rFonts w:hint="eastAsia" w:ascii="宋体" w:hAnsi="宋体" w:cs="宋体"/>
          <w:b/>
          <w:bCs/>
          <w:color w:val="auto"/>
          <w:kern w:val="0"/>
          <w:sz w:val="24"/>
          <w:szCs w:val="24"/>
          <w:u w:val="single"/>
          <w:lang w:val="en-US" w:eastAsia="zh-CN"/>
        </w:rPr>
        <w:t>5000元人民币</w:t>
      </w:r>
      <w:r>
        <w:rPr>
          <w:rFonts w:hint="eastAsia"/>
          <w:sz w:val="24"/>
          <w:lang w:eastAsia="zh-CN"/>
        </w:rPr>
        <w:t>）</w:t>
      </w:r>
      <w:r>
        <w:rPr>
          <w:rFonts w:hint="eastAsia" w:ascii="宋体" w:hAnsi="宋体" w:eastAsia="宋体" w:cs="宋体"/>
          <w:color w:val="auto"/>
          <w:spacing w:val="-4"/>
          <w:sz w:val="24"/>
          <w:szCs w:val="24"/>
        </w:rPr>
        <w:t>直接付至委托人指定</w:t>
      </w:r>
      <w:r>
        <w:rPr>
          <w:rFonts w:hint="eastAsia" w:ascii="宋体" w:hAnsi="宋体" w:eastAsia="宋体" w:cs="宋体"/>
          <w:color w:val="auto"/>
          <w:spacing w:val="-4"/>
          <w:sz w:val="24"/>
          <w:szCs w:val="24"/>
          <w:u w:val="single"/>
          <w:lang w:eastAsia="zh-CN"/>
        </w:rPr>
        <w:t>账</w:t>
      </w:r>
      <w:r>
        <w:rPr>
          <w:rFonts w:hint="eastAsia" w:ascii="宋体" w:hAnsi="宋体" w:eastAsia="宋体" w:cs="宋体"/>
          <w:color w:val="auto"/>
          <w:spacing w:val="-4"/>
          <w:sz w:val="24"/>
          <w:szCs w:val="24"/>
          <w:u w:val="single"/>
        </w:rPr>
        <w:t>户</w:t>
      </w:r>
      <w:r>
        <w:rPr>
          <w:rFonts w:hint="eastAsia" w:ascii="宋体" w:hAnsi="宋体" w:eastAsia="宋体" w:cs="宋体"/>
          <w:color w:val="auto"/>
          <w:spacing w:val="-4"/>
          <w:sz w:val="24"/>
          <w:szCs w:val="24"/>
          <w:u w:val="single"/>
          <w:lang w:eastAsia="zh-CN"/>
        </w:rPr>
        <w:t>名称：</w:t>
      </w:r>
      <w:r>
        <w:rPr>
          <w:rFonts w:hint="eastAsia" w:ascii="宋体" w:hAnsi="宋体"/>
          <w:sz w:val="24"/>
          <w:u w:val="single"/>
          <w:lang w:eastAsia="zh-CN"/>
        </w:rPr>
        <w:t>宁波市镇海区住发物业管理有限公司</w:t>
      </w:r>
      <w:r>
        <w:rPr>
          <w:rFonts w:hint="eastAsia" w:ascii="宋体" w:hAnsi="宋体" w:cs="宋体"/>
          <w:color w:val="auto"/>
          <w:spacing w:val="-4"/>
          <w:sz w:val="24"/>
          <w:szCs w:val="24"/>
          <w:u w:val="single"/>
          <w:lang w:val="en-US" w:eastAsia="zh-CN"/>
        </w:rPr>
        <w:t xml:space="preserve"> </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lang w:val="en-US" w:eastAsia="zh-CN"/>
        </w:rPr>
        <w:t>开户行：</w:t>
      </w:r>
      <w:r>
        <w:rPr>
          <w:rFonts w:hint="eastAsia" w:ascii="宋体" w:hAnsi="宋体"/>
          <w:sz w:val="24"/>
          <w:u w:val="single"/>
          <w:lang w:eastAsia="zh-CN"/>
        </w:rPr>
        <w:t>中国建设银行股份有限公司宁波镇海支行</w:t>
      </w:r>
      <w:r>
        <w:rPr>
          <w:rFonts w:hint="eastAsia" w:ascii="宋体" w:hAnsi="宋体" w:eastAsia="宋体" w:cs="宋体"/>
          <w:color w:val="auto"/>
          <w:spacing w:val="-4"/>
          <w:sz w:val="24"/>
          <w:szCs w:val="24"/>
          <w:u w:val="single"/>
          <w:lang w:eastAsia="zh-CN"/>
        </w:rPr>
        <w:t>，账号：</w:t>
      </w:r>
      <w:r>
        <w:rPr>
          <w:rFonts w:hint="eastAsia" w:ascii="宋体" w:hAnsi="宋体"/>
          <w:sz w:val="24"/>
          <w:u w:val="single"/>
          <w:lang w:val="en-US" w:eastAsia="zh-CN"/>
        </w:rPr>
        <w:t>33101984037050500686</w:t>
      </w:r>
      <w:r>
        <w:rPr>
          <w:rFonts w:hint="eastAsia" w:ascii="宋体" w:hAnsi="宋体"/>
          <w:sz w:val="24"/>
          <w:u w:val="single"/>
        </w:rPr>
        <w:t xml:space="preserve"> </w:t>
      </w:r>
    </w:p>
    <w:p w14:paraId="3B0D0DFE">
      <w:pPr>
        <w:keepNext w:val="0"/>
        <w:keepLines w:val="0"/>
        <w:pageBreakBefore w:val="0"/>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6FAF4B2">
      <w:pPr>
        <w:pStyle w:val="17"/>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344CD19">
      <w:pPr>
        <w:pStyle w:val="17"/>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直接交付，具体交付时间以《</w:t>
      </w:r>
      <w:r>
        <w:rPr>
          <w:rFonts w:hint="eastAsia" w:ascii="宋体" w:hAnsi="宋体" w:eastAsia="宋体" w:cs="宋体"/>
          <w:color w:val="auto"/>
          <w:sz w:val="24"/>
          <w:szCs w:val="24"/>
          <w:lang w:val="en-US" w:eastAsia="zh-CN"/>
        </w:rPr>
        <w:t>广告位招商</w:t>
      </w:r>
      <w:r>
        <w:rPr>
          <w:rFonts w:hint="eastAsia" w:ascii="宋体" w:hAnsi="宋体" w:eastAsia="宋体" w:cs="宋体"/>
          <w:color w:val="auto"/>
          <w:sz w:val="24"/>
          <w:szCs w:val="24"/>
        </w:rPr>
        <w:t>合同》约定为准；若</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有权拒绝交付。</w:t>
      </w:r>
    </w:p>
    <w:p w14:paraId="7713696D">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2</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9D01A8B">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w:t>
      </w:r>
      <w:r>
        <w:rPr>
          <w:rFonts w:hint="eastAsia" w:ascii="宋体" w:hAnsi="宋体" w:eastAsia="宋体" w:cs="宋体"/>
          <w:color w:val="auto"/>
          <w:sz w:val="24"/>
          <w:szCs w:val="24"/>
          <w:lang w:val="en-US" w:eastAsia="zh-CN"/>
        </w:rPr>
        <w:t>广告位招商</w:t>
      </w:r>
      <w:r>
        <w:rPr>
          <w:rFonts w:hint="eastAsia" w:ascii="宋体" w:hAnsi="宋体" w:eastAsia="宋体" w:cs="宋体"/>
          <w:color w:val="auto"/>
          <w:sz w:val="24"/>
          <w:szCs w:val="24"/>
        </w:rPr>
        <w:t>合同</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A89C50C">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7、</w:t>
      </w:r>
      <w:r>
        <w:rPr>
          <w:rFonts w:hint="eastAsia" w:ascii="宋体" w:hAnsi="宋体" w:eastAsia="宋体" w:cs="宋体"/>
          <w:b w:val="0"/>
          <w:bCs w:val="0"/>
          <w:color w:val="auto"/>
          <w:sz w:val="24"/>
          <w:szCs w:val="24"/>
          <w:shd w:val="clear" w:color="auto" w:fill="auto"/>
          <w:lang w:val="en-US" w:eastAsia="zh-CN"/>
        </w:rPr>
        <w:t>租赁</w:t>
      </w:r>
      <w:r>
        <w:rPr>
          <w:rFonts w:hint="eastAsia" w:ascii="宋体" w:hAnsi="宋体" w:cs="宋体"/>
          <w:b w:val="0"/>
          <w:bCs w:val="0"/>
          <w:color w:val="auto"/>
          <w:sz w:val="24"/>
          <w:szCs w:val="24"/>
          <w:shd w:val="clear" w:color="auto" w:fill="auto"/>
          <w:lang w:val="en-US" w:eastAsia="zh-CN"/>
        </w:rPr>
        <w:t>标的</w:t>
      </w:r>
      <w:r>
        <w:rPr>
          <w:rFonts w:hint="eastAsia" w:ascii="宋体" w:hAnsi="宋体" w:eastAsia="宋体" w:cs="宋体"/>
          <w:b w:val="0"/>
          <w:bCs w:val="0"/>
          <w:color w:val="auto"/>
          <w:sz w:val="24"/>
          <w:szCs w:val="24"/>
          <w:shd w:val="clear" w:color="auto" w:fill="auto"/>
          <w:lang w:val="en-US" w:eastAsia="zh-CN"/>
        </w:rPr>
        <w:t>移交</w:t>
      </w:r>
    </w:p>
    <w:p w14:paraId="4B99B7B7">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）租赁</w:t>
      </w:r>
      <w:r>
        <w:rPr>
          <w:rFonts w:hint="eastAsia" w:ascii="宋体" w:hAnsi="宋体" w:cs="宋体"/>
          <w:b/>
          <w:bCs/>
          <w:color w:val="auto"/>
          <w:sz w:val="24"/>
          <w:szCs w:val="24"/>
          <w:shd w:val="clear" w:color="auto" w:fill="auto"/>
          <w:lang w:val="en-US" w:eastAsia="zh-CN"/>
        </w:rPr>
        <w:t>标的</w:t>
      </w:r>
      <w:r>
        <w:rPr>
          <w:rFonts w:hint="eastAsia" w:ascii="宋体" w:hAnsi="宋体" w:eastAsia="宋体" w:cs="宋体"/>
          <w:b/>
          <w:bCs/>
          <w:color w:val="auto"/>
          <w:sz w:val="24"/>
          <w:szCs w:val="24"/>
          <w:shd w:val="clear" w:color="auto" w:fill="auto"/>
          <w:lang w:eastAsia="zh-CN"/>
        </w:rPr>
        <w:t>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cs="宋体"/>
          <w:b/>
          <w:bCs/>
          <w:color w:val="auto"/>
          <w:sz w:val="24"/>
          <w:szCs w:val="24"/>
          <w:shd w:val="clear" w:color="auto" w:fill="auto"/>
          <w:lang w:val="en-US" w:eastAsia="zh-CN"/>
        </w:rPr>
        <w:t>标的</w:t>
      </w:r>
      <w:r>
        <w:rPr>
          <w:rFonts w:hint="eastAsia" w:ascii="宋体" w:hAnsi="宋体" w:eastAsia="宋体" w:cs="宋体"/>
          <w:b/>
          <w:bCs/>
          <w:color w:val="auto"/>
          <w:sz w:val="24"/>
          <w:szCs w:val="24"/>
          <w:shd w:val="clear" w:color="auto" w:fill="auto"/>
        </w:rPr>
        <w:t>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2144608">
      <w:pPr>
        <w:pStyle w:val="17"/>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2FC780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1、协议约定期限内，</w:t>
      </w:r>
      <w:r>
        <w:rPr>
          <w:rFonts w:hint="eastAsia" w:ascii="宋体" w:hAnsi="宋体" w:eastAsia="宋体" w:cs="宋体"/>
          <w:color w:val="auto"/>
          <w:kern w:val="0"/>
          <w:sz w:val="24"/>
          <w:szCs w:val="24"/>
          <w:lang w:eastAsia="zh-CN"/>
        </w:rPr>
        <w:t>委托人</w:t>
      </w:r>
      <w:r>
        <w:rPr>
          <w:rFonts w:hint="eastAsia" w:ascii="宋体" w:hAnsi="宋体" w:eastAsia="宋体" w:cs="宋体"/>
          <w:sz w:val="24"/>
          <w:szCs w:val="24"/>
        </w:rPr>
        <w:t>不得再自行招商和进行类似的设摊，商业推广及广告发布活动，所有与本协议活动相关的交付信息以及前来联系的商户信息应及时转交给</w:t>
      </w:r>
      <w:r>
        <w:rPr>
          <w:rFonts w:hint="eastAsia" w:ascii="宋体" w:hAnsi="宋体" w:eastAsia="宋体" w:cs="宋体"/>
          <w:sz w:val="24"/>
          <w:szCs w:val="24"/>
          <w:lang w:val="en-US" w:eastAsia="zh-CN"/>
        </w:rPr>
        <w:t>买受人</w:t>
      </w:r>
      <w:r>
        <w:rPr>
          <w:rFonts w:hint="eastAsia" w:ascii="宋体" w:hAnsi="宋体" w:eastAsia="宋体" w:cs="宋体"/>
          <w:sz w:val="24"/>
          <w:szCs w:val="24"/>
        </w:rPr>
        <w:t>，确保</w:t>
      </w:r>
      <w:r>
        <w:rPr>
          <w:rFonts w:hint="eastAsia" w:ascii="宋体" w:hAnsi="宋体" w:eastAsia="宋体" w:cs="宋体"/>
          <w:sz w:val="24"/>
          <w:szCs w:val="24"/>
          <w:lang w:val="en-US" w:eastAsia="zh-CN"/>
        </w:rPr>
        <w:t>买受人</w:t>
      </w:r>
      <w:r>
        <w:rPr>
          <w:rFonts w:hint="eastAsia" w:ascii="宋体" w:hAnsi="宋体" w:eastAsia="宋体" w:cs="宋体"/>
          <w:sz w:val="24"/>
          <w:szCs w:val="24"/>
        </w:rPr>
        <w:t>活动能够正常，如期举行并对小区各大门进行合理把控。</w:t>
      </w:r>
    </w:p>
    <w:p w14:paraId="0A39414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color w:val="auto"/>
          <w:kern w:val="0"/>
          <w:sz w:val="24"/>
          <w:szCs w:val="24"/>
          <w:lang w:eastAsia="zh-CN"/>
        </w:rPr>
        <w:t>委托人</w:t>
      </w:r>
      <w:r>
        <w:rPr>
          <w:rFonts w:hint="eastAsia" w:ascii="宋体" w:hAnsi="宋体" w:eastAsia="宋体" w:cs="宋体"/>
          <w:sz w:val="24"/>
          <w:szCs w:val="24"/>
        </w:rPr>
        <w:t>应保证场地的正常使用，提前进场布置，并提供必需的协助和配合，如影响</w:t>
      </w:r>
      <w:r>
        <w:rPr>
          <w:rFonts w:hint="eastAsia" w:ascii="宋体" w:hAnsi="宋体" w:eastAsia="宋体" w:cs="宋体"/>
          <w:sz w:val="24"/>
          <w:szCs w:val="24"/>
          <w:lang w:val="en-US" w:eastAsia="zh-CN"/>
        </w:rPr>
        <w:t>买受人</w:t>
      </w:r>
      <w:r>
        <w:rPr>
          <w:rFonts w:hint="eastAsia" w:ascii="宋体" w:hAnsi="宋体" w:eastAsia="宋体" w:cs="宋体"/>
          <w:sz w:val="24"/>
          <w:szCs w:val="24"/>
        </w:rPr>
        <w:t>的活动，应及时消除影响。</w:t>
      </w:r>
    </w:p>
    <w:p w14:paraId="48D83FFE">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买受人</w:t>
      </w:r>
      <w:r>
        <w:rPr>
          <w:rFonts w:hint="eastAsia" w:ascii="宋体" w:hAnsi="宋体" w:eastAsia="宋体" w:cs="宋体"/>
          <w:sz w:val="24"/>
          <w:szCs w:val="24"/>
        </w:rPr>
        <w:t>应统一设摊和维持好设摊、广告发布过程中的秩序，保证整体效果美观、协调、不得影响</w:t>
      </w:r>
      <w:r>
        <w:rPr>
          <w:rFonts w:hint="eastAsia" w:ascii="宋体" w:hAnsi="宋体" w:eastAsia="宋体" w:cs="宋体"/>
          <w:color w:val="auto"/>
          <w:kern w:val="0"/>
          <w:sz w:val="24"/>
          <w:szCs w:val="24"/>
          <w:lang w:eastAsia="zh-CN"/>
        </w:rPr>
        <w:t>委托人</w:t>
      </w:r>
      <w:r>
        <w:rPr>
          <w:rFonts w:hint="eastAsia" w:ascii="宋体" w:hAnsi="宋体" w:eastAsia="宋体" w:cs="宋体"/>
          <w:sz w:val="24"/>
          <w:szCs w:val="24"/>
        </w:rPr>
        <w:t>的正常工作，不得强行向业主推销产品，交付期间提供业主陪访和验房服务。</w:t>
      </w:r>
    </w:p>
    <w:p w14:paraId="37A4591F">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sz w:val="24"/>
          <w:szCs w:val="24"/>
        </w:rPr>
        <w:t>4、</w:t>
      </w:r>
      <w:r>
        <w:rPr>
          <w:rFonts w:hint="eastAsia" w:ascii="宋体" w:hAnsi="宋体" w:eastAsia="宋体" w:cs="宋体"/>
          <w:sz w:val="24"/>
          <w:szCs w:val="24"/>
          <w:lang w:val="en-US" w:eastAsia="zh-CN"/>
        </w:rPr>
        <w:t>买受人</w:t>
      </w:r>
      <w:r>
        <w:rPr>
          <w:rFonts w:hint="eastAsia" w:ascii="宋体" w:hAnsi="宋体" w:eastAsia="宋体" w:cs="宋体"/>
          <w:sz w:val="24"/>
          <w:szCs w:val="24"/>
        </w:rPr>
        <w:t>必须服从</w:t>
      </w:r>
      <w:r>
        <w:rPr>
          <w:rFonts w:hint="eastAsia" w:ascii="宋体" w:hAnsi="宋体" w:eastAsia="宋体" w:cs="宋体"/>
          <w:color w:val="auto"/>
          <w:kern w:val="0"/>
          <w:sz w:val="24"/>
          <w:szCs w:val="24"/>
          <w:lang w:eastAsia="zh-CN"/>
        </w:rPr>
        <w:t>委托人</w:t>
      </w:r>
      <w:r>
        <w:rPr>
          <w:rFonts w:hint="eastAsia" w:ascii="宋体" w:hAnsi="宋体" w:eastAsia="宋体" w:cs="宋体"/>
          <w:sz w:val="24"/>
          <w:szCs w:val="24"/>
        </w:rPr>
        <w:t>的管理，若有业主投拆，</w:t>
      </w:r>
      <w:r>
        <w:rPr>
          <w:rFonts w:hint="eastAsia" w:ascii="宋体" w:hAnsi="宋体" w:eastAsia="宋体" w:cs="宋体"/>
          <w:sz w:val="24"/>
          <w:szCs w:val="24"/>
          <w:lang w:val="en-US" w:eastAsia="zh-CN"/>
        </w:rPr>
        <w:t>买受人</w:t>
      </w:r>
      <w:r>
        <w:rPr>
          <w:rFonts w:hint="eastAsia" w:ascii="宋体" w:hAnsi="宋体" w:eastAsia="宋体" w:cs="宋体"/>
          <w:sz w:val="24"/>
          <w:szCs w:val="24"/>
        </w:rPr>
        <w:t>必须无条件整改，直至更换及撤销相关设施及广告发布人员。</w:t>
      </w:r>
    </w:p>
    <w:p w14:paraId="344D4CD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w:t>
      </w:r>
      <w:r>
        <w:rPr>
          <w:rFonts w:hint="eastAsia" w:ascii="宋体" w:hAnsi="宋体" w:eastAsia="宋体" w:cs="宋体"/>
          <w:color w:val="auto"/>
          <w:sz w:val="24"/>
          <w:szCs w:val="24"/>
          <w:lang w:val="en-US" w:eastAsia="zh-CN"/>
        </w:rPr>
        <w:t>广告位招商</w:t>
      </w:r>
      <w:r>
        <w:rPr>
          <w:rFonts w:hint="eastAsia" w:ascii="宋体" w:hAnsi="宋体" w:eastAsia="宋体" w:cs="宋体"/>
          <w:color w:val="auto"/>
          <w:sz w:val="24"/>
          <w:szCs w:val="24"/>
        </w:rPr>
        <w:t>合同</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自行担风险,并不影响竞价成交结果,也不作为解除出租合同的理由。</w:t>
      </w:r>
    </w:p>
    <w:p w14:paraId="7F10B788">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92CAF83">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标的存在的任何瑕疵，不承担瑕疵担保责任。买受人不得在</w:t>
      </w:r>
      <w:r>
        <w:rPr>
          <w:rFonts w:hint="eastAsia" w:ascii="宋体" w:hAnsi="宋体" w:cs="宋体"/>
          <w:color w:val="auto"/>
          <w:sz w:val="24"/>
          <w:szCs w:val="24"/>
          <w:lang w:val="en-US" w:eastAsia="zh-CN"/>
        </w:rPr>
        <w:t>竞价</w:t>
      </w:r>
      <w:r>
        <w:rPr>
          <w:rFonts w:hint="eastAsia" w:ascii="宋体" w:hAnsi="宋体" w:eastAsia="宋体" w:cs="宋体"/>
          <w:color w:val="auto"/>
          <w:sz w:val="24"/>
          <w:szCs w:val="24"/>
        </w:rPr>
        <w:t>成功后另行主张标的物的瑕疵权利。</w:t>
      </w:r>
    </w:p>
    <w:p w14:paraId="6A3C141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有下列违约情况，买受人承担违约责任，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0B343D">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签订《</w:t>
      </w:r>
      <w:r>
        <w:rPr>
          <w:rFonts w:hint="eastAsia" w:ascii="宋体" w:hAnsi="宋体" w:eastAsia="宋体" w:cs="宋体"/>
          <w:color w:val="auto"/>
          <w:sz w:val="24"/>
          <w:szCs w:val="24"/>
          <w:lang w:val="en-US" w:eastAsia="zh-CN"/>
        </w:rPr>
        <w:t>广告位招商</w:t>
      </w:r>
      <w:r>
        <w:rPr>
          <w:rFonts w:hint="eastAsia" w:ascii="宋体" w:hAnsi="宋体" w:eastAsia="宋体" w:cs="宋体"/>
          <w:color w:val="auto"/>
          <w:sz w:val="24"/>
          <w:szCs w:val="24"/>
        </w:rPr>
        <w:t>合同》</w:t>
      </w:r>
      <w:r>
        <w:rPr>
          <w:rFonts w:hint="eastAsia" w:ascii="宋体" w:hAnsi="宋体" w:cs="宋体"/>
          <w:color w:val="auto"/>
          <w:sz w:val="24"/>
          <w:szCs w:val="24"/>
          <w:lang w:eastAsia="zh-CN"/>
        </w:rPr>
        <w:t>，</w:t>
      </w:r>
      <w:r>
        <w:rPr>
          <w:rFonts w:hint="eastAsia" w:ascii="宋体" w:hAnsi="宋体" w:eastAsia="宋体" w:cs="宋体"/>
          <w:color w:val="auto"/>
          <w:sz w:val="24"/>
          <w:szCs w:val="24"/>
        </w:rPr>
        <w:t>均视为买受人违约，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A02F7">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②买受人逾期支付租金的，本公司有权单方面解除与买受人签订的《竞价成交确认书》，收回竞价标的。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2EACB8D">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0F90117">
      <w:pPr>
        <w:pStyle w:val="6"/>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D8C997D">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7F52E6EE">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7937BF2">
      <w:pPr>
        <w:keepNext w:val="0"/>
        <w:keepLines w:val="0"/>
        <w:pageBreakBefore w:val="0"/>
        <w:kinsoku/>
        <w:wordWrap/>
        <w:overflowPunct/>
        <w:topLinePunct w:val="0"/>
        <w:autoSpaceDE/>
        <w:autoSpaceDN/>
        <w:bidi w:val="0"/>
        <w:adjustRightInd/>
        <w:snapToGrid/>
        <w:spacing w:line="360" w:lineRule="auto"/>
        <w:ind w:left="0" w:right="0" w:firstLine="482" w:firstLineChars="200"/>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w:t>
      </w:r>
      <w:r>
        <w:rPr>
          <w:rFonts w:hint="eastAsia" w:ascii="宋体" w:hAnsi="宋体" w:eastAsia="宋体" w:cs="宋体"/>
          <w:b/>
          <w:bCs/>
          <w:color w:val="auto"/>
          <w:sz w:val="24"/>
          <w:szCs w:val="24"/>
          <w:lang w:val="en-US" w:eastAsia="zh-CN"/>
        </w:rPr>
        <w:t>广告位招商</w:t>
      </w:r>
      <w:r>
        <w:rPr>
          <w:rFonts w:hint="eastAsia" w:ascii="宋体" w:hAnsi="宋体" w:eastAsia="宋体" w:cs="宋体"/>
          <w:b/>
          <w:bCs/>
          <w:color w:val="auto"/>
          <w:sz w:val="24"/>
          <w:szCs w:val="24"/>
        </w:rPr>
        <w:t>合同</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廉政</w:t>
      </w:r>
      <w:r>
        <w:rPr>
          <w:rFonts w:hint="eastAsia" w:ascii="宋体" w:hAnsi="宋体" w:eastAsia="宋体" w:cs="宋体"/>
          <w:b/>
          <w:bCs/>
          <w:color w:val="auto"/>
          <w:sz w:val="24"/>
          <w:szCs w:val="24"/>
          <w:lang w:val="en-US" w:eastAsia="zh-CN"/>
        </w:rPr>
        <w:t>从业合同》</w:t>
      </w:r>
    </w:p>
    <w:p w14:paraId="07FDF3E6">
      <w:pPr>
        <w:keepNext w:val="0"/>
        <w:keepLines w:val="0"/>
        <w:pageBreakBefore w:val="0"/>
        <w:kinsoku/>
        <w:wordWrap/>
        <w:overflowPunct/>
        <w:topLinePunct w:val="0"/>
        <w:autoSpaceDE/>
        <w:autoSpaceDN/>
        <w:bidi w:val="0"/>
        <w:adjustRightInd/>
        <w:snapToGrid/>
        <w:spacing w:line="360" w:lineRule="auto"/>
        <w:ind w:left="0" w:right="0" w:firstLine="480" w:firstLineChars="200"/>
        <w:jc w:val="right"/>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11568C54">
      <w:pPr>
        <w:keepNext w:val="0"/>
        <w:keepLines w:val="0"/>
        <w:pageBreakBefore w:val="0"/>
        <w:kinsoku/>
        <w:wordWrap/>
        <w:overflowPunct/>
        <w:topLinePunct w:val="0"/>
        <w:autoSpaceDE/>
        <w:autoSpaceDN/>
        <w:bidi w:val="0"/>
        <w:adjustRightInd/>
        <w:snapToGrid/>
        <w:spacing w:line="360" w:lineRule="auto"/>
        <w:ind w:left="0" w:right="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cs="宋体"/>
          <w:color w:val="auto"/>
          <w:sz w:val="24"/>
          <w:szCs w:val="24"/>
          <w:lang w:val="en-US" w:eastAsia="zh-CN"/>
        </w:rPr>
        <w:t>2026年6</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日</w:t>
      </w:r>
    </w:p>
    <w:p w14:paraId="496D0E4B">
      <w:pPr>
        <w:jc w:val="center"/>
        <w:rPr>
          <w:rFonts w:hint="eastAsia"/>
          <w:b/>
          <w:sz w:val="52"/>
          <w:szCs w:val="52"/>
          <w:lang w:val="en-US" w:eastAsia="zh-CN"/>
        </w:rPr>
      </w:pPr>
      <w:r>
        <w:rPr>
          <w:rFonts w:hint="eastAsia"/>
          <w:b/>
          <w:sz w:val="52"/>
          <w:szCs w:val="52"/>
          <w:lang w:val="en-US" w:eastAsia="zh-CN"/>
        </w:rPr>
        <w:t>镇海区XXX项目商业推广</w:t>
      </w:r>
    </w:p>
    <w:p w14:paraId="37367F56">
      <w:pPr>
        <w:jc w:val="center"/>
        <w:rPr>
          <w:rFonts w:hint="default"/>
          <w:b/>
          <w:sz w:val="52"/>
          <w:szCs w:val="52"/>
          <w:lang w:val="en-US"/>
        </w:rPr>
      </w:pPr>
      <w:r>
        <w:rPr>
          <w:rFonts w:hint="eastAsia"/>
          <w:b/>
          <w:sz w:val="52"/>
          <w:szCs w:val="52"/>
          <w:lang w:val="en-US" w:eastAsia="zh-CN"/>
        </w:rPr>
        <w:t>广告位招商</w:t>
      </w:r>
    </w:p>
    <w:p w14:paraId="65E2F88D">
      <w:pPr>
        <w:rPr>
          <w:rFonts w:hint="eastAsia"/>
          <w:b/>
          <w:sz w:val="52"/>
          <w:szCs w:val="52"/>
        </w:rPr>
      </w:pPr>
    </w:p>
    <w:p w14:paraId="562CE9B6">
      <w:pPr>
        <w:rPr>
          <w:rFonts w:hint="eastAsia"/>
          <w:b/>
          <w:sz w:val="72"/>
          <w:szCs w:val="72"/>
        </w:rPr>
      </w:pPr>
    </w:p>
    <w:p w14:paraId="76EF656C">
      <w:pPr>
        <w:rPr>
          <w:rFonts w:hint="eastAsia"/>
          <w:b/>
          <w:sz w:val="72"/>
          <w:szCs w:val="72"/>
        </w:rPr>
      </w:pPr>
    </w:p>
    <w:p w14:paraId="31493753">
      <w:pPr>
        <w:rPr>
          <w:rFonts w:hint="eastAsia"/>
          <w:b/>
          <w:sz w:val="72"/>
          <w:szCs w:val="72"/>
        </w:rPr>
      </w:pPr>
    </w:p>
    <w:p w14:paraId="04AF8110">
      <w:pPr>
        <w:ind w:firstLine="2891" w:firstLineChars="400"/>
        <w:rPr>
          <w:rFonts w:hint="default" w:eastAsia="宋体"/>
          <w:szCs w:val="21"/>
          <w:lang w:val="en-US" w:eastAsia="zh-CN"/>
        </w:rPr>
      </w:pPr>
      <w:r>
        <w:rPr>
          <w:rFonts w:hint="eastAsia"/>
          <w:b/>
          <w:sz w:val="72"/>
          <w:szCs w:val="72"/>
          <w:lang w:val="en-US" w:eastAsia="zh-CN"/>
        </w:rPr>
        <w:t>合同条款</w:t>
      </w:r>
    </w:p>
    <w:p w14:paraId="0A572D45">
      <w:pPr>
        <w:rPr>
          <w:rFonts w:hint="eastAsia"/>
          <w:szCs w:val="21"/>
        </w:rPr>
      </w:pPr>
    </w:p>
    <w:p w14:paraId="7BE015E0">
      <w:pPr>
        <w:rPr>
          <w:rFonts w:hint="eastAsia"/>
          <w:szCs w:val="21"/>
        </w:rPr>
      </w:pPr>
    </w:p>
    <w:p w14:paraId="7F6143CB">
      <w:pPr>
        <w:rPr>
          <w:rFonts w:hint="eastAsia"/>
          <w:szCs w:val="21"/>
        </w:rPr>
      </w:pPr>
    </w:p>
    <w:p w14:paraId="5A9E3502">
      <w:pPr>
        <w:rPr>
          <w:rFonts w:hint="eastAsia"/>
          <w:szCs w:val="21"/>
        </w:rPr>
      </w:pPr>
    </w:p>
    <w:p w14:paraId="2A0123AF">
      <w:pPr>
        <w:rPr>
          <w:rFonts w:hint="eastAsia"/>
          <w:szCs w:val="21"/>
        </w:rPr>
      </w:pPr>
    </w:p>
    <w:p w14:paraId="5EC26340">
      <w:pPr>
        <w:rPr>
          <w:rFonts w:hint="eastAsia"/>
          <w:szCs w:val="21"/>
        </w:rPr>
      </w:pPr>
    </w:p>
    <w:p w14:paraId="6EAEF404">
      <w:pPr>
        <w:rPr>
          <w:rFonts w:hint="eastAsia"/>
          <w:szCs w:val="21"/>
        </w:rPr>
      </w:pPr>
    </w:p>
    <w:p w14:paraId="0A5890F8">
      <w:pPr>
        <w:rPr>
          <w:rFonts w:hint="eastAsia"/>
          <w:szCs w:val="21"/>
        </w:rPr>
      </w:pPr>
    </w:p>
    <w:p w14:paraId="1F5E010F">
      <w:pPr>
        <w:rPr>
          <w:rFonts w:hint="eastAsia"/>
          <w:szCs w:val="21"/>
        </w:rPr>
      </w:pPr>
    </w:p>
    <w:p w14:paraId="48F39640">
      <w:pPr>
        <w:rPr>
          <w:rFonts w:hint="eastAsia"/>
          <w:szCs w:val="21"/>
        </w:rPr>
      </w:pPr>
    </w:p>
    <w:p w14:paraId="1FE902E8">
      <w:pPr>
        <w:rPr>
          <w:rFonts w:hint="eastAsia"/>
          <w:szCs w:val="21"/>
        </w:rPr>
      </w:pPr>
    </w:p>
    <w:p w14:paraId="1D52D995">
      <w:pPr>
        <w:rPr>
          <w:rFonts w:hint="eastAsia"/>
          <w:szCs w:val="21"/>
        </w:rPr>
      </w:pPr>
    </w:p>
    <w:p w14:paraId="378C80A9">
      <w:pPr>
        <w:rPr>
          <w:rFonts w:hint="eastAsia"/>
          <w:szCs w:val="21"/>
        </w:rPr>
      </w:pPr>
    </w:p>
    <w:p w14:paraId="169D7BFB">
      <w:pPr>
        <w:rPr>
          <w:rFonts w:hint="eastAsia"/>
          <w:szCs w:val="21"/>
        </w:rPr>
      </w:pPr>
    </w:p>
    <w:p w14:paraId="7804FF84">
      <w:pPr>
        <w:rPr>
          <w:rFonts w:hint="eastAsia"/>
          <w:szCs w:val="21"/>
        </w:rPr>
      </w:pPr>
    </w:p>
    <w:p w14:paraId="2165D7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sz w:val="24"/>
          <w:szCs w:val="24"/>
          <w:highlight w:val="none"/>
        </w:rPr>
      </w:pPr>
      <w:r>
        <w:rPr>
          <w:rFonts w:hint="eastAsia"/>
          <w:sz w:val="24"/>
          <w:szCs w:val="24"/>
          <w:highlight w:val="none"/>
        </w:rPr>
        <w:t xml:space="preserve"> </w:t>
      </w:r>
    </w:p>
    <w:p w14:paraId="0E3307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sz w:val="24"/>
          <w:szCs w:val="24"/>
          <w:highlight w:val="none"/>
        </w:rPr>
      </w:pPr>
    </w:p>
    <w:p w14:paraId="415691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sz w:val="24"/>
          <w:szCs w:val="24"/>
          <w:highlight w:val="none"/>
        </w:rPr>
      </w:pPr>
    </w:p>
    <w:p w14:paraId="1926AA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sz w:val="24"/>
          <w:szCs w:val="24"/>
          <w:highlight w:val="none"/>
        </w:rPr>
      </w:pPr>
    </w:p>
    <w:p w14:paraId="14D7FC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sz w:val="24"/>
          <w:szCs w:val="24"/>
          <w:highlight w:val="none"/>
        </w:rPr>
      </w:pPr>
    </w:p>
    <w:p w14:paraId="7D158F7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sz w:val="24"/>
          <w:szCs w:val="24"/>
          <w:highlight w:val="none"/>
        </w:rPr>
      </w:pPr>
    </w:p>
    <w:p w14:paraId="4A35CD1B">
      <w:pPr>
        <w:spacing w:line="360" w:lineRule="auto"/>
        <w:jc w:val="center"/>
        <w:rPr>
          <w:b/>
          <w:sz w:val="32"/>
          <w:szCs w:val="32"/>
        </w:rPr>
      </w:pPr>
      <w:r>
        <w:rPr>
          <w:rFonts w:hint="eastAsia"/>
          <w:b/>
          <w:sz w:val="32"/>
          <w:szCs w:val="32"/>
          <w:u w:val="none"/>
          <w:lang w:val="en-US" w:eastAsia="zh-CN"/>
        </w:rPr>
        <w:t>镇海区XXX项目商业推广广告位招商</w:t>
      </w:r>
      <w:r>
        <w:rPr>
          <w:rFonts w:hint="eastAsia"/>
          <w:b/>
          <w:sz w:val="32"/>
          <w:szCs w:val="32"/>
        </w:rPr>
        <w:t>合同</w:t>
      </w:r>
    </w:p>
    <w:p w14:paraId="2A86FEA0">
      <w:pPr>
        <w:spacing w:line="360" w:lineRule="auto"/>
        <w:rPr>
          <w:rFonts w:hint="eastAsia" w:ascii="宋体" w:hAnsi="宋体" w:cs="宋体"/>
          <w:kern w:val="0"/>
          <w:sz w:val="24"/>
          <w:szCs w:val="24"/>
        </w:rPr>
      </w:pPr>
    </w:p>
    <w:p w14:paraId="3CDC96AB">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宁波市镇海区住发物业管理有限公司</w:t>
      </w:r>
    </w:p>
    <w:p w14:paraId="1832F591">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乙方：</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u w:val="single"/>
          <w:lang w:val="en-US" w:eastAsia="zh-CN"/>
        </w:rPr>
        <w:t xml:space="preserve">                               </w:t>
      </w:r>
    </w:p>
    <w:p w14:paraId="055EA15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根据《中华人民共和国合同法</w:t>
      </w:r>
      <w:r>
        <w:rPr>
          <w:rFonts w:hint="eastAsia" w:ascii="宋体" w:hAnsi="宋体" w:eastAsia="宋体" w:cs="宋体"/>
          <w:sz w:val="24"/>
          <w:szCs w:val="24"/>
          <w:lang w:eastAsia="zh-CN"/>
        </w:rPr>
        <w:t>》</w:t>
      </w:r>
      <w:r>
        <w:rPr>
          <w:rFonts w:hint="eastAsia" w:ascii="宋体" w:hAnsi="宋体" w:eastAsia="宋体" w:cs="宋体"/>
          <w:sz w:val="24"/>
          <w:szCs w:val="24"/>
        </w:rPr>
        <w:t>及相关法律、法规的规定，甲乙双方本着平等、自愿、诚实信用的原则，订立本协议。</w:t>
      </w:r>
    </w:p>
    <w:p w14:paraId="7A857CE9">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一</w:t>
      </w:r>
      <w:r>
        <w:rPr>
          <w:rFonts w:hint="eastAsia" w:ascii="宋体" w:hAnsi="宋体" w:eastAsia="宋体" w:cs="宋体"/>
          <w:sz w:val="24"/>
          <w:szCs w:val="24"/>
        </w:rPr>
        <w:t>、甲方允许乙方在</w:t>
      </w:r>
      <w:r>
        <w:rPr>
          <w:rFonts w:hint="eastAsia" w:ascii="宋体" w:hAnsi="宋体" w:eastAsia="宋体" w:cs="宋体"/>
          <w:sz w:val="24"/>
          <w:szCs w:val="24"/>
          <w:u w:val="single"/>
          <w:lang w:val="en-US" w:eastAsia="zh-CN"/>
        </w:rPr>
        <w:t>XXX小区</w:t>
      </w:r>
      <w:r>
        <w:rPr>
          <w:rFonts w:hint="eastAsia" w:ascii="宋体" w:hAnsi="宋体" w:eastAsia="宋体" w:cs="宋体"/>
          <w:sz w:val="24"/>
          <w:szCs w:val="24"/>
        </w:rPr>
        <w:t>现场进行商业推广及广告发布。</w:t>
      </w:r>
    </w:p>
    <w:p w14:paraId="7330300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商业推广的内容包括：</w:t>
      </w:r>
    </w:p>
    <w:p w14:paraId="0866FD1F">
      <w:pPr>
        <w:numPr>
          <w:ilvl w:val="0"/>
          <w:numId w:val="1"/>
        </w:num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集中设摊，</w:t>
      </w:r>
      <w:r>
        <w:rPr>
          <w:rFonts w:hint="eastAsia" w:ascii="宋体" w:hAnsi="宋体" w:eastAsia="宋体" w:cs="宋体"/>
          <w:sz w:val="24"/>
          <w:szCs w:val="24"/>
          <w:lang w:eastAsia="zh-CN"/>
        </w:rPr>
        <w:t>根据甲方指定位置，统一搭建桁架，所有摊位集中在桁架内，整体美观，摊位数量不超过</w:t>
      </w:r>
      <w:r>
        <w:rPr>
          <w:rFonts w:hint="eastAsia" w:ascii="宋体" w:hAnsi="宋体" w:eastAsia="宋体" w:cs="宋体"/>
          <w:sz w:val="24"/>
          <w:szCs w:val="24"/>
          <w:u w:val="single"/>
          <w:lang w:val="en-US" w:eastAsia="zh-CN"/>
        </w:rPr>
        <w:t xml:space="preserve">   个</w:t>
      </w:r>
      <w:r>
        <w:rPr>
          <w:rFonts w:hint="eastAsia" w:ascii="宋体" w:hAnsi="宋体" w:eastAsia="宋体" w:cs="宋体"/>
          <w:sz w:val="24"/>
          <w:szCs w:val="24"/>
          <w:lang w:val="en-US" w:eastAsia="zh-CN"/>
        </w:rPr>
        <w:t>，时间从集中交付当日计算一个月</w:t>
      </w:r>
      <w:r>
        <w:rPr>
          <w:rFonts w:hint="eastAsia" w:ascii="宋体" w:hAnsi="宋体" w:eastAsia="宋体" w:cs="宋体"/>
          <w:sz w:val="24"/>
          <w:szCs w:val="24"/>
          <w:lang w:eastAsia="zh-CN"/>
        </w:rPr>
        <w:t>。</w:t>
      </w:r>
    </w:p>
    <w:p w14:paraId="21B03BFD">
      <w:pPr>
        <w:numPr>
          <w:ilvl w:val="0"/>
          <w:numId w:val="1"/>
        </w:num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移动网格架广告</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块</w:t>
      </w:r>
      <w:r>
        <w:rPr>
          <w:rFonts w:hint="eastAsia" w:ascii="宋体" w:hAnsi="宋体" w:eastAsia="宋体" w:cs="宋体"/>
          <w:sz w:val="24"/>
          <w:szCs w:val="24"/>
        </w:rPr>
        <w:t>，每块规格不超过4m*3m,时间</w:t>
      </w:r>
      <w:r>
        <w:rPr>
          <w:rFonts w:hint="eastAsia" w:ascii="宋体" w:hAnsi="宋体" w:eastAsia="宋体" w:cs="宋体"/>
          <w:sz w:val="24"/>
          <w:szCs w:val="24"/>
          <w:lang w:val="en-US" w:eastAsia="zh-CN"/>
        </w:rPr>
        <w:t>半</w:t>
      </w:r>
      <w:r>
        <w:rPr>
          <w:rFonts w:hint="eastAsia" w:ascii="宋体" w:hAnsi="宋体" w:eastAsia="宋体" w:cs="宋体"/>
          <w:sz w:val="24"/>
          <w:szCs w:val="24"/>
        </w:rPr>
        <w:t>年</w:t>
      </w:r>
    </w:p>
    <w:p w14:paraId="65C59484">
      <w:pPr>
        <w:numPr>
          <w:ilvl w:val="0"/>
          <w:numId w:val="1"/>
        </w:num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电梯广告，每部电梯一面，时间从集中交付当日计算</w:t>
      </w:r>
      <w:r>
        <w:rPr>
          <w:rFonts w:hint="eastAsia" w:ascii="宋体" w:hAnsi="宋体" w:eastAsia="宋体" w:cs="宋体"/>
          <w:sz w:val="24"/>
          <w:szCs w:val="24"/>
          <w:lang w:val="en-US" w:eastAsia="zh-CN"/>
        </w:rPr>
        <w:t>一</w:t>
      </w:r>
      <w:r>
        <w:rPr>
          <w:rFonts w:hint="eastAsia" w:ascii="宋体" w:hAnsi="宋体" w:eastAsia="宋体" w:cs="宋体"/>
          <w:sz w:val="24"/>
          <w:szCs w:val="24"/>
          <w:lang w:eastAsia="zh-CN"/>
        </w:rPr>
        <w:t>年。</w:t>
      </w:r>
    </w:p>
    <w:p w14:paraId="1E794958">
      <w:pPr>
        <w:numPr>
          <w:ilvl w:val="0"/>
          <w:numId w:val="0"/>
        </w:num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以上每项商业推广在进场前需向物业缴纳场地使用保证金5000元，待合同到期，经甲方验收未损坏公共设施设备和造成严重环境污染，免息退还。</w:t>
      </w:r>
    </w:p>
    <w:p w14:paraId="30729895">
      <w:pPr>
        <w:numPr>
          <w:ilvl w:val="0"/>
          <w:numId w:val="2"/>
        </w:numPr>
        <w:spacing w:line="360" w:lineRule="auto"/>
        <w:jc w:val="left"/>
        <w:rPr>
          <w:rFonts w:hint="eastAsia" w:ascii="宋体" w:hAnsi="宋体" w:eastAsia="宋体" w:cs="宋体"/>
          <w:sz w:val="24"/>
          <w:szCs w:val="24"/>
          <w:lang w:eastAsia="zh-CN"/>
        </w:rPr>
      </w:pPr>
      <w:r>
        <w:rPr>
          <w:rFonts w:hint="eastAsia" w:ascii="宋体" w:hAnsi="宋体" w:eastAsia="宋体" w:cs="宋体"/>
          <w:sz w:val="24"/>
          <w:szCs w:val="24"/>
        </w:rPr>
        <w:t>费用：</w:t>
      </w:r>
      <w:r>
        <w:rPr>
          <w:rFonts w:hint="eastAsia" w:ascii="宋体" w:hAnsi="宋体" w:eastAsia="宋体" w:cs="宋体"/>
          <w:sz w:val="24"/>
          <w:szCs w:val="24"/>
          <w:lang w:eastAsia="zh-CN"/>
        </w:rPr>
        <w:t>上述商业推广场地租赁费</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万元，综合服务费</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万元，合计</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万元。</w:t>
      </w:r>
      <w:r>
        <w:rPr>
          <w:rFonts w:hint="eastAsia" w:ascii="宋体" w:hAnsi="宋体" w:eastAsia="宋体" w:cs="宋体"/>
          <w:sz w:val="24"/>
          <w:szCs w:val="24"/>
        </w:rPr>
        <w:t>合同签订</w:t>
      </w:r>
      <w:r>
        <w:rPr>
          <w:rFonts w:hint="eastAsia" w:ascii="宋体" w:hAnsi="宋体" w:eastAsia="宋体" w:cs="宋体"/>
          <w:sz w:val="24"/>
          <w:szCs w:val="24"/>
          <w:lang w:eastAsia="zh-CN"/>
        </w:rPr>
        <w:t>两周内</w:t>
      </w:r>
      <w:r>
        <w:rPr>
          <w:rFonts w:hint="eastAsia" w:ascii="宋体" w:hAnsi="宋体" w:eastAsia="宋体" w:cs="宋体"/>
          <w:sz w:val="24"/>
          <w:szCs w:val="24"/>
        </w:rPr>
        <w:t>付清。</w:t>
      </w:r>
      <w:r>
        <w:rPr>
          <w:rFonts w:hint="eastAsia" w:ascii="宋体" w:hAnsi="宋体" w:eastAsia="宋体" w:cs="宋体"/>
          <w:sz w:val="24"/>
          <w:szCs w:val="24"/>
          <w:lang w:val="en-US" w:eastAsia="zh-CN"/>
        </w:rPr>
        <w:t xml:space="preserve"> </w:t>
      </w:r>
    </w:p>
    <w:p w14:paraId="0FED9FA7">
      <w:pPr>
        <w:numPr>
          <w:ilvl w:val="0"/>
          <w:numId w:val="0"/>
        </w:numPr>
        <w:spacing w:line="360" w:lineRule="auto"/>
        <w:ind w:firstLine="480" w:firstLineChars="200"/>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收款单位名称：宁波市镇海区住发物业管理有限公司；</w:t>
      </w:r>
    </w:p>
    <w:p w14:paraId="4CE50E63">
      <w:pPr>
        <w:numPr>
          <w:ilvl w:val="0"/>
          <w:numId w:val="0"/>
        </w:numPr>
        <w:spacing w:line="360" w:lineRule="auto"/>
        <w:ind w:firstLine="480" w:firstLineChars="200"/>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开户行：中国建设银行股份有限公司宁波镇海支行；</w:t>
      </w:r>
    </w:p>
    <w:p w14:paraId="0FA316F9">
      <w:pPr>
        <w:numPr>
          <w:ilvl w:val="0"/>
          <w:numId w:val="0"/>
        </w:numPr>
        <w:spacing w:line="360" w:lineRule="auto"/>
        <w:ind w:firstLine="480" w:firstLineChars="200"/>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账号：33101984037050500686</w:t>
      </w:r>
    </w:p>
    <w:p w14:paraId="59D7E248">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三</w:t>
      </w:r>
      <w:r>
        <w:rPr>
          <w:rFonts w:hint="eastAsia" w:ascii="宋体" w:hAnsi="宋体" w:eastAsia="宋体" w:cs="宋体"/>
          <w:sz w:val="24"/>
          <w:szCs w:val="24"/>
        </w:rPr>
        <w:t>、相关商业推广和广告发布的地点：</w:t>
      </w:r>
    </w:p>
    <w:p w14:paraId="7C570F6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集中设摊地点位置由双方协商确定，不得随意设置影响业主。</w:t>
      </w:r>
    </w:p>
    <w:p w14:paraId="33D47618">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四</w:t>
      </w:r>
      <w:r>
        <w:rPr>
          <w:rFonts w:hint="eastAsia" w:ascii="宋体" w:hAnsi="宋体" w:eastAsia="宋体" w:cs="宋体"/>
          <w:sz w:val="24"/>
          <w:szCs w:val="24"/>
        </w:rPr>
        <w:t>、甲乙双方相关约定：</w:t>
      </w:r>
    </w:p>
    <w:p w14:paraId="64CC83D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协议约定期限内，甲方不得再自行招商和进行类似的设摊，商业推广及广告发布活动，所有与本协议活动相关的交付信息以及前来联系的商户信息应及时转交给乙方，确保乙方活动能够正常，如期举行并对小区各大门进行合理把控。</w:t>
      </w:r>
    </w:p>
    <w:p w14:paraId="1F639FD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2、甲方应保证场地的正常使用，提前进场布置，并提供必需的协助和配合，如影响乙方的活动，应及时消除影响。</w:t>
      </w:r>
    </w:p>
    <w:p w14:paraId="5FDDF49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3、乙方应统一设摊和维持好设摊、广告发布过程中的秩序，保证整体效果美观、协调、不得影响甲方的正常工作，不得强行向业主推销产品，交付期间提供业主陪访和验房服务。</w:t>
      </w:r>
    </w:p>
    <w:p w14:paraId="6A85C661">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4、乙方必须服从甲方的管理，若有业主投拆，乙方必须无条件整改，直至更换及撤销相关设施及广告发布人员。</w:t>
      </w:r>
    </w:p>
    <w:p w14:paraId="6C7A1842">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5、本协议约定的项目按实际交付之日起计算。</w:t>
      </w:r>
    </w:p>
    <w:p w14:paraId="13B8E668">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五</w:t>
      </w:r>
      <w:r>
        <w:rPr>
          <w:rFonts w:hint="eastAsia" w:ascii="宋体" w:hAnsi="宋体" w:eastAsia="宋体" w:cs="宋体"/>
          <w:sz w:val="24"/>
          <w:szCs w:val="24"/>
        </w:rPr>
        <w:t>、本合同一式贰份，自双方签字盖章之日起生效。</w:t>
      </w:r>
    </w:p>
    <w:p w14:paraId="04E43965">
      <w:pPr>
        <w:spacing w:line="360" w:lineRule="auto"/>
        <w:rPr>
          <w:rFonts w:hint="eastAsia"/>
          <w:sz w:val="28"/>
          <w:szCs w:val="28"/>
        </w:rPr>
      </w:pPr>
    </w:p>
    <w:p w14:paraId="544019B3">
      <w:pPr>
        <w:pStyle w:val="7"/>
        <w:snapToGrid w:val="0"/>
        <w:spacing w:line="360" w:lineRule="auto"/>
        <w:ind w:left="420" w:leftChars="200"/>
        <w:rPr>
          <w:rFonts w:hAnsi="宋体" w:cs="宋体"/>
          <w:sz w:val="24"/>
          <w:szCs w:val="24"/>
        </w:rPr>
      </w:pPr>
    </w:p>
    <w:p w14:paraId="17D093FB">
      <w:pPr>
        <w:pStyle w:val="7"/>
        <w:snapToGrid w:val="0"/>
        <w:spacing w:line="360" w:lineRule="auto"/>
        <w:rPr>
          <w:rFonts w:hAnsi="宋体" w:cs="宋体"/>
          <w:sz w:val="24"/>
          <w:szCs w:val="24"/>
        </w:rPr>
      </w:pPr>
      <w:r>
        <w:rPr>
          <w:rFonts w:hint="eastAsia" w:hAnsi="宋体" w:cs="宋体"/>
          <w:sz w:val="24"/>
          <w:szCs w:val="24"/>
        </w:rPr>
        <w:t xml:space="preserve">甲方：                              乙方：  </w:t>
      </w:r>
    </w:p>
    <w:p w14:paraId="0D58D248">
      <w:pPr>
        <w:pStyle w:val="7"/>
        <w:snapToGrid w:val="0"/>
        <w:spacing w:line="360" w:lineRule="auto"/>
        <w:rPr>
          <w:rFonts w:hAnsi="宋体" w:cs="宋体"/>
          <w:sz w:val="24"/>
          <w:szCs w:val="24"/>
        </w:rPr>
      </w:pPr>
      <w:r>
        <w:rPr>
          <w:rFonts w:hint="eastAsia" w:hAnsi="宋体" w:cs="宋体"/>
          <w:sz w:val="24"/>
          <w:szCs w:val="24"/>
        </w:rPr>
        <w:t xml:space="preserve">地址：                              地址： </w:t>
      </w:r>
    </w:p>
    <w:p w14:paraId="0D3185D0">
      <w:pPr>
        <w:pStyle w:val="7"/>
        <w:snapToGrid w:val="0"/>
        <w:spacing w:line="360" w:lineRule="auto"/>
        <w:rPr>
          <w:rFonts w:hAnsi="宋体" w:cs="宋体"/>
          <w:sz w:val="24"/>
          <w:szCs w:val="24"/>
        </w:rPr>
      </w:pPr>
      <w:r>
        <w:rPr>
          <w:rFonts w:hint="eastAsia" w:hAnsi="宋体" w:cs="宋体"/>
          <w:sz w:val="24"/>
          <w:szCs w:val="24"/>
        </w:rPr>
        <w:t>法定（或授权）代表人签字：          法定（或授权）代表人签字：</w:t>
      </w:r>
    </w:p>
    <w:p w14:paraId="50284508">
      <w:pPr>
        <w:pStyle w:val="7"/>
        <w:snapToGrid w:val="0"/>
        <w:spacing w:line="360" w:lineRule="auto"/>
        <w:rPr>
          <w:rFonts w:hAnsi="宋体" w:cs="宋体"/>
          <w:sz w:val="24"/>
          <w:szCs w:val="24"/>
        </w:rPr>
      </w:pPr>
    </w:p>
    <w:p w14:paraId="3EBBD48F">
      <w:pPr>
        <w:spacing w:line="360" w:lineRule="auto"/>
        <w:jc w:val="center"/>
        <w:rPr>
          <w:rFonts w:hint="eastAsia" w:ascii="宋体" w:hAnsi="宋体" w:eastAsia="宋体" w:cs="宋体"/>
          <w:b/>
          <w:bCs/>
          <w:color w:val="auto"/>
          <w:sz w:val="22"/>
          <w:szCs w:val="22"/>
          <w:highlight w:val="none"/>
        </w:rPr>
      </w:pPr>
      <w:r>
        <w:rPr>
          <w:rFonts w:hint="eastAsia" w:hAnsi="宋体" w:cs="宋体"/>
          <w:sz w:val="24"/>
          <w:szCs w:val="24"/>
          <w:lang w:val="en-US" w:eastAsia="zh-CN"/>
        </w:rPr>
        <w:t>签订</w:t>
      </w:r>
      <w:r>
        <w:rPr>
          <w:rFonts w:hint="eastAsia" w:hAnsi="宋体" w:cs="宋体"/>
          <w:sz w:val="24"/>
          <w:szCs w:val="24"/>
        </w:rPr>
        <w:t>日期：</w:t>
      </w:r>
      <w:r>
        <w:rPr>
          <w:rFonts w:hint="eastAsia" w:hAnsi="宋体" w:cs="宋体"/>
          <w:sz w:val="24"/>
          <w:szCs w:val="24"/>
          <w:lang w:val="en-US" w:eastAsia="zh-CN"/>
        </w:rPr>
        <w:t xml:space="preserve">   </w:t>
      </w:r>
      <w:r>
        <w:rPr>
          <w:rFonts w:hint="eastAsia" w:hAnsi="宋体" w:cs="宋体"/>
          <w:sz w:val="24"/>
          <w:szCs w:val="24"/>
        </w:rPr>
        <w:t>年</w:t>
      </w:r>
      <w:r>
        <w:rPr>
          <w:rFonts w:hint="eastAsia" w:hAnsi="宋体" w:cs="宋体"/>
          <w:sz w:val="24"/>
          <w:szCs w:val="24"/>
          <w:lang w:val="en-US" w:eastAsia="zh-CN"/>
        </w:rPr>
        <w:t xml:space="preserve">   </w:t>
      </w:r>
      <w:r>
        <w:rPr>
          <w:rFonts w:hint="eastAsia" w:hAnsi="宋体" w:cs="宋体"/>
          <w:sz w:val="24"/>
          <w:szCs w:val="24"/>
        </w:rPr>
        <w:t>月</w:t>
      </w:r>
      <w:r>
        <w:rPr>
          <w:rFonts w:hint="eastAsia" w:hAnsi="宋体" w:cs="宋体"/>
          <w:sz w:val="24"/>
          <w:szCs w:val="24"/>
          <w:lang w:val="en-US" w:eastAsia="zh-CN"/>
        </w:rPr>
        <w:t xml:space="preserve">   </w:t>
      </w:r>
      <w:r>
        <w:rPr>
          <w:rFonts w:hint="eastAsia" w:hAnsi="宋体" w:cs="宋体"/>
          <w:sz w:val="24"/>
          <w:szCs w:val="24"/>
        </w:rPr>
        <w:t xml:space="preserve">日              </w:t>
      </w:r>
    </w:p>
    <w:p w14:paraId="6BAEE4A4">
      <w:pPr>
        <w:spacing w:line="360" w:lineRule="auto"/>
        <w:jc w:val="center"/>
        <w:rPr>
          <w:rFonts w:hint="eastAsia" w:ascii="宋体" w:hAnsi="宋体" w:eastAsia="宋体" w:cs="宋体"/>
          <w:b/>
          <w:bCs/>
          <w:color w:val="auto"/>
          <w:sz w:val="22"/>
          <w:szCs w:val="22"/>
          <w:highlight w:val="none"/>
        </w:rPr>
      </w:pPr>
    </w:p>
    <w:p w14:paraId="3740D61F">
      <w:pPr>
        <w:spacing w:line="340" w:lineRule="exact"/>
        <w:jc w:val="center"/>
        <w:rPr>
          <w:rFonts w:hint="eastAsia" w:ascii="宋体" w:hAnsi="宋体" w:eastAsia="宋体" w:cs="宋体"/>
          <w:b/>
          <w:bCs/>
          <w:color w:val="auto"/>
          <w:sz w:val="22"/>
          <w:szCs w:val="22"/>
          <w:highlight w:val="none"/>
        </w:rPr>
      </w:pPr>
    </w:p>
    <w:p w14:paraId="428253E5">
      <w:pPr>
        <w:spacing w:line="340" w:lineRule="exact"/>
        <w:jc w:val="center"/>
        <w:rPr>
          <w:rFonts w:hint="eastAsia" w:ascii="宋体" w:hAnsi="宋体" w:eastAsia="宋体" w:cs="宋体"/>
          <w:b/>
          <w:bCs/>
          <w:color w:val="auto"/>
          <w:sz w:val="22"/>
          <w:szCs w:val="22"/>
          <w:highlight w:val="none"/>
        </w:rPr>
      </w:pPr>
    </w:p>
    <w:p w14:paraId="733D913E">
      <w:pPr>
        <w:spacing w:line="340" w:lineRule="exact"/>
        <w:jc w:val="center"/>
        <w:rPr>
          <w:rFonts w:hint="eastAsia" w:ascii="宋体" w:hAnsi="宋体" w:eastAsia="宋体" w:cs="宋体"/>
          <w:b/>
          <w:bCs/>
          <w:color w:val="auto"/>
          <w:sz w:val="22"/>
          <w:szCs w:val="22"/>
          <w:highlight w:val="none"/>
        </w:rPr>
      </w:pPr>
    </w:p>
    <w:p w14:paraId="67452798">
      <w:pPr>
        <w:spacing w:line="340" w:lineRule="exact"/>
        <w:jc w:val="center"/>
        <w:rPr>
          <w:rFonts w:hint="eastAsia" w:ascii="宋体" w:hAnsi="宋体" w:eastAsia="宋体" w:cs="宋体"/>
          <w:b/>
          <w:bCs/>
          <w:color w:val="auto"/>
          <w:sz w:val="22"/>
          <w:szCs w:val="22"/>
          <w:highlight w:val="none"/>
        </w:rPr>
      </w:pPr>
    </w:p>
    <w:p w14:paraId="08CF18C9">
      <w:pPr>
        <w:spacing w:line="340" w:lineRule="exact"/>
        <w:jc w:val="center"/>
        <w:rPr>
          <w:rFonts w:hint="eastAsia" w:ascii="宋体" w:hAnsi="宋体" w:eastAsia="宋体" w:cs="宋体"/>
          <w:b/>
          <w:bCs/>
          <w:color w:val="auto"/>
          <w:sz w:val="22"/>
          <w:szCs w:val="22"/>
          <w:highlight w:val="none"/>
        </w:rPr>
      </w:pPr>
    </w:p>
    <w:p w14:paraId="0F34C8D7">
      <w:pPr>
        <w:spacing w:line="340" w:lineRule="exact"/>
        <w:jc w:val="center"/>
        <w:rPr>
          <w:rFonts w:hint="eastAsia" w:ascii="宋体" w:hAnsi="宋体" w:eastAsia="宋体" w:cs="宋体"/>
          <w:b/>
          <w:bCs/>
          <w:color w:val="auto"/>
          <w:sz w:val="22"/>
          <w:szCs w:val="22"/>
          <w:highlight w:val="none"/>
        </w:rPr>
      </w:pPr>
    </w:p>
    <w:p w14:paraId="1B0FB855">
      <w:pPr>
        <w:spacing w:line="340" w:lineRule="exact"/>
        <w:jc w:val="center"/>
        <w:rPr>
          <w:rFonts w:hint="eastAsia" w:ascii="宋体" w:hAnsi="宋体" w:eastAsia="宋体" w:cs="宋体"/>
          <w:b/>
          <w:bCs/>
          <w:color w:val="auto"/>
          <w:sz w:val="22"/>
          <w:szCs w:val="22"/>
          <w:highlight w:val="none"/>
        </w:rPr>
      </w:pPr>
    </w:p>
    <w:p w14:paraId="3AA06A58">
      <w:pPr>
        <w:spacing w:line="340" w:lineRule="exact"/>
        <w:jc w:val="center"/>
        <w:rPr>
          <w:rFonts w:hint="eastAsia" w:ascii="宋体" w:hAnsi="宋体" w:eastAsia="宋体" w:cs="宋体"/>
          <w:b/>
          <w:bCs/>
          <w:color w:val="auto"/>
          <w:sz w:val="22"/>
          <w:szCs w:val="22"/>
          <w:highlight w:val="none"/>
        </w:rPr>
      </w:pPr>
    </w:p>
    <w:p w14:paraId="7D9ADF1A">
      <w:pPr>
        <w:spacing w:line="340" w:lineRule="exact"/>
        <w:jc w:val="center"/>
        <w:rPr>
          <w:rFonts w:hint="eastAsia" w:ascii="宋体" w:hAnsi="宋体" w:eastAsia="宋体" w:cs="宋体"/>
          <w:b/>
          <w:bCs/>
          <w:color w:val="auto"/>
          <w:sz w:val="22"/>
          <w:szCs w:val="22"/>
          <w:highlight w:val="none"/>
        </w:rPr>
      </w:pPr>
    </w:p>
    <w:p w14:paraId="2B971952">
      <w:pPr>
        <w:spacing w:line="340" w:lineRule="exact"/>
        <w:jc w:val="center"/>
        <w:rPr>
          <w:rFonts w:hint="eastAsia" w:ascii="宋体" w:hAnsi="宋体" w:eastAsia="宋体" w:cs="宋体"/>
          <w:b/>
          <w:bCs/>
          <w:color w:val="auto"/>
          <w:sz w:val="22"/>
          <w:szCs w:val="22"/>
          <w:highlight w:val="none"/>
        </w:rPr>
      </w:pPr>
    </w:p>
    <w:p w14:paraId="4A057C74">
      <w:pPr>
        <w:spacing w:line="340" w:lineRule="exact"/>
        <w:jc w:val="center"/>
        <w:rPr>
          <w:rFonts w:hint="eastAsia" w:ascii="宋体" w:hAnsi="宋体" w:eastAsia="宋体" w:cs="宋体"/>
          <w:b/>
          <w:bCs/>
          <w:color w:val="auto"/>
          <w:sz w:val="22"/>
          <w:szCs w:val="22"/>
          <w:highlight w:val="none"/>
        </w:rPr>
      </w:pPr>
    </w:p>
    <w:p w14:paraId="216F1833">
      <w:pPr>
        <w:spacing w:line="340" w:lineRule="exact"/>
        <w:jc w:val="center"/>
        <w:rPr>
          <w:rFonts w:hint="eastAsia" w:ascii="宋体" w:hAnsi="宋体" w:eastAsia="宋体" w:cs="宋体"/>
          <w:b/>
          <w:bCs/>
          <w:color w:val="auto"/>
          <w:sz w:val="22"/>
          <w:szCs w:val="22"/>
          <w:highlight w:val="none"/>
        </w:rPr>
      </w:pPr>
    </w:p>
    <w:p w14:paraId="7FFCDD9C">
      <w:pPr>
        <w:spacing w:line="340" w:lineRule="exact"/>
        <w:jc w:val="center"/>
        <w:rPr>
          <w:rFonts w:hint="eastAsia" w:ascii="宋体" w:hAnsi="宋体" w:eastAsia="宋体" w:cs="宋体"/>
          <w:b/>
          <w:bCs/>
          <w:color w:val="auto"/>
          <w:sz w:val="22"/>
          <w:szCs w:val="22"/>
          <w:highlight w:val="none"/>
        </w:rPr>
      </w:pPr>
    </w:p>
    <w:p w14:paraId="2237B3A8">
      <w:pPr>
        <w:spacing w:line="340" w:lineRule="exact"/>
        <w:jc w:val="center"/>
        <w:rPr>
          <w:rFonts w:hint="eastAsia" w:ascii="宋体" w:hAnsi="宋体" w:eastAsia="宋体" w:cs="宋体"/>
          <w:b/>
          <w:bCs/>
          <w:color w:val="auto"/>
          <w:sz w:val="22"/>
          <w:szCs w:val="22"/>
          <w:highlight w:val="none"/>
        </w:rPr>
      </w:pPr>
    </w:p>
    <w:p w14:paraId="19862AFD">
      <w:pPr>
        <w:spacing w:line="340" w:lineRule="exact"/>
        <w:jc w:val="center"/>
        <w:rPr>
          <w:rFonts w:hint="eastAsia" w:ascii="宋体" w:hAnsi="宋体" w:eastAsia="宋体" w:cs="宋体"/>
          <w:b/>
          <w:bCs/>
          <w:color w:val="auto"/>
          <w:sz w:val="22"/>
          <w:szCs w:val="22"/>
          <w:highlight w:val="none"/>
        </w:rPr>
      </w:pPr>
    </w:p>
    <w:p w14:paraId="46A9E73A">
      <w:pPr>
        <w:spacing w:line="340" w:lineRule="exact"/>
        <w:jc w:val="center"/>
        <w:rPr>
          <w:rFonts w:hint="eastAsia" w:ascii="宋体" w:hAnsi="宋体" w:eastAsia="宋体" w:cs="宋体"/>
          <w:b/>
          <w:bCs/>
          <w:color w:val="auto"/>
          <w:sz w:val="22"/>
          <w:szCs w:val="22"/>
          <w:highlight w:val="none"/>
        </w:rPr>
      </w:pPr>
    </w:p>
    <w:p w14:paraId="12E6EE95">
      <w:pPr>
        <w:spacing w:line="340" w:lineRule="exact"/>
        <w:jc w:val="center"/>
        <w:rPr>
          <w:rFonts w:hint="eastAsia" w:ascii="宋体" w:hAnsi="宋体" w:eastAsia="宋体" w:cs="宋体"/>
          <w:b/>
          <w:bCs/>
          <w:color w:val="auto"/>
          <w:sz w:val="22"/>
          <w:szCs w:val="22"/>
          <w:highlight w:val="none"/>
        </w:rPr>
      </w:pPr>
    </w:p>
    <w:p w14:paraId="571BD172">
      <w:pPr>
        <w:spacing w:line="340" w:lineRule="exact"/>
        <w:jc w:val="center"/>
        <w:rPr>
          <w:rFonts w:hint="eastAsia" w:ascii="宋体" w:hAnsi="宋体" w:eastAsia="宋体" w:cs="宋体"/>
          <w:b/>
          <w:bCs/>
          <w:color w:val="auto"/>
          <w:sz w:val="22"/>
          <w:szCs w:val="22"/>
          <w:highlight w:val="none"/>
        </w:rPr>
      </w:pPr>
    </w:p>
    <w:p w14:paraId="08DA9794">
      <w:pPr>
        <w:spacing w:line="340" w:lineRule="exact"/>
        <w:jc w:val="center"/>
        <w:rPr>
          <w:rFonts w:hint="eastAsia" w:ascii="宋体" w:hAnsi="宋体" w:eastAsia="宋体" w:cs="宋体"/>
          <w:b/>
          <w:bCs/>
          <w:color w:val="auto"/>
          <w:sz w:val="22"/>
          <w:szCs w:val="22"/>
          <w:highlight w:val="none"/>
        </w:rPr>
      </w:pPr>
    </w:p>
    <w:p w14:paraId="2506E7FA">
      <w:pPr>
        <w:spacing w:line="340" w:lineRule="exact"/>
        <w:jc w:val="center"/>
        <w:rPr>
          <w:rFonts w:hint="eastAsia" w:ascii="宋体" w:hAnsi="宋体" w:eastAsia="宋体" w:cs="宋体"/>
          <w:b/>
          <w:bCs/>
          <w:color w:val="auto"/>
          <w:sz w:val="22"/>
          <w:szCs w:val="22"/>
          <w:highlight w:val="none"/>
        </w:rPr>
      </w:pPr>
    </w:p>
    <w:p w14:paraId="04AE6AC4">
      <w:pPr>
        <w:spacing w:line="340" w:lineRule="exact"/>
        <w:jc w:val="center"/>
        <w:rPr>
          <w:rFonts w:hint="eastAsia" w:ascii="宋体" w:hAnsi="宋体" w:eastAsia="宋体" w:cs="宋体"/>
          <w:b/>
          <w:bCs/>
          <w:color w:val="auto"/>
          <w:sz w:val="22"/>
          <w:szCs w:val="22"/>
          <w:highlight w:val="none"/>
        </w:rPr>
      </w:pPr>
    </w:p>
    <w:p w14:paraId="4D2DE04A">
      <w:pPr>
        <w:spacing w:line="340" w:lineRule="exact"/>
        <w:jc w:val="center"/>
        <w:rPr>
          <w:rFonts w:hint="eastAsia" w:ascii="宋体" w:hAnsi="宋体" w:eastAsia="宋体" w:cs="宋体"/>
          <w:b/>
          <w:bCs/>
          <w:color w:val="auto"/>
          <w:sz w:val="32"/>
          <w:szCs w:val="32"/>
          <w:highlight w:val="none"/>
        </w:rPr>
      </w:pPr>
    </w:p>
    <w:p w14:paraId="1549B304">
      <w:pPr>
        <w:spacing w:line="340" w:lineRule="exact"/>
        <w:jc w:val="center"/>
        <w:rPr>
          <w:rFonts w:hint="eastAsia" w:ascii="宋体" w:hAnsi="宋体" w:eastAsia="宋体" w:cs="宋体"/>
          <w:b/>
          <w:bCs/>
          <w:color w:val="auto"/>
          <w:sz w:val="32"/>
          <w:szCs w:val="32"/>
          <w:highlight w:val="none"/>
        </w:rPr>
      </w:pPr>
    </w:p>
    <w:p w14:paraId="2E4F58EA">
      <w:pPr>
        <w:spacing w:line="340" w:lineRule="exact"/>
        <w:jc w:val="center"/>
        <w:rPr>
          <w:rFonts w:hint="default"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rPr>
        <w:t>廉政</w:t>
      </w:r>
      <w:r>
        <w:rPr>
          <w:rFonts w:hint="eastAsia" w:ascii="宋体" w:hAnsi="宋体" w:eastAsia="宋体" w:cs="宋体"/>
          <w:b/>
          <w:bCs/>
          <w:color w:val="auto"/>
          <w:sz w:val="32"/>
          <w:szCs w:val="32"/>
          <w:highlight w:val="none"/>
          <w:lang w:val="en-US" w:eastAsia="zh-CN"/>
        </w:rPr>
        <w:t>从业合同</w:t>
      </w:r>
    </w:p>
    <w:p w14:paraId="15725DA8">
      <w:pPr>
        <w:pStyle w:val="15"/>
        <w:rPr>
          <w:rFonts w:hint="eastAsia"/>
        </w:rPr>
      </w:pPr>
    </w:p>
    <w:p w14:paraId="2FD71A0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加强建设点工程项目建设中的廉政建设，规范工程双方的各项活动，防止发生各种谋取不正当利益的违法专违纪行为，保护国家、集体和当事人的合法权益，根据国家有关工程建设的法律法规和廉政建设规定，特</w:t>
      </w:r>
      <w:r>
        <w:rPr>
          <w:rFonts w:hint="eastAsia" w:ascii="宋体" w:hAnsi="宋体" w:eastAsia="宋体" w:cs="宋体"/>
          <w:color w:val="auto"/>
          <w:sz w:val="24"/>
          <w:szCs w:val="24"/>
          <w:highlight w:val="none"/>
          <w:lang w:val="en-US" w:eastAsia="zh-CN"/>
        </w:rPr>
        <w:t>设</w:t>
      </w:r>
      <w:r>
        <w:rPr>
          <w:rFonts w:hint="eastAsia" w:ascii="宋体" w:hAnsi="宋体" w:eastAsia="宋体" w:cs="宋体"/>
          <w:color w:val="auto"/>
          <w:sz w:val="24"/>
          <w:szCs w:val="24"/>
          <w:highlight w:val="none"/>
        </w:rPr>
        <w:t>立本廉政</w:t>
      </w:r>
      <w:r>
        <w:rPr>
          <w:rFonts w:hint="eastAsia" w:ascii="宋体" w:hAnsi="宋体" w:eastAsia="宋体" w:cs="宋体"/>
          <w:color w:val="auto"/>
          <w:sz w:val="24"/>
          <w:szCs w:val="24"/>
          <w:highlight w:val="none"/>
          <w:lang w:val="en-US" w:eastAsia="zh-CN"/>
        </w:rPr>
        <w:t>合同</w:t>
      </w:r>
      <w:r>
        <w:rPr>
          <w:rFonts w:hint="eastAsia" w:ascii="宋体" w:hAnsi="宋体" w:eastAsia="宋体" w:cs="宋体"/>
          <w:color w:val="auto"/>
          <w:sz w:val="24"/>
          <w:szCs w:val="24"/>
          <w:highlight w:val="none"/>
        </w:rPr>
        <w:t>。</w:t>
      </w:r>
    </w:p>
    <w:p w14:paraId="24A536A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第一条  甲乙双方的权利和义务</w:t>
      </w:r>
    </w:p>
    <w:p w14:paraId="4D876CF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（一）严格遵守国家关于市场准入、勘测设计、施工监理、招标投标、工程施工、设备安装和市场经营活动等有关法律法规和相关政策，以及廉政建设和各项规定。</w:t>
      </w:r>
    </w:p>
    <w:p w14:paraId="537E0DA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（二）严格执行本项目</w:t>
      </w:r>
      <w:r>
        <w:rPr>
          <w:rFonts w:hint="eastAsia" w:ascii="宋体" w:hAnsi="宋体" w:eastAsia="宋体" w:cs="宋体"/>
          <w:color w:val="auto"/>
          <w:sz w:val="24"/>
          <w:szCs w:val="24"/>
          <w:highlight w:val="none"/>
          <w:lang w:val="en-US" w:eastAsia="zh-CN"/>
        </w:rPr>
        <w:t>甲乙</w:t>
      </w:r>
      <w:r>
        <w:rPr>
          <w:rFonts w:hint="eastAsia" w:ascii="宋体" w:hAnsi="宋体" w:eastAsia="宋体" w:cs="宋体"/>
          <w:color w:val="auto"/>
          <w:sz w:val="24"/>
          <w:szCs w:val="24"/>
          <w:highlight w:val="none"/>
        </w:rPr>
        <w:t>双方签订的合同文件，自觉按合同办事。</w:t>
      </w:r>
    </w:p>
    <w:p w14:paraId="4E2976A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业务活动必须坚持公开、公平、公正、诚信、透明的原则（除法律法规认定的商业秘密和合同文件另有规定者除外，双方人员不得为获取不正当的利益，就工程费用、材料供应、工程量变动、工程验收、工程质量等问题进行私下商谈或达成默契，不得损害国家利益，违反工程建设管理规章制度。</w:t>
      </w:r>
    </w:p>
    <w:p w14:paraId="7678F89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建立健全廉政制度，开展廉政教育，设立廉政告示牌，公布举报电话，监督并认真查处违法违纪行为。发现对方在业务活动中有违反本合同行为的，有及时提醒对方纠正的权利和义务。情节严重的，有向其上级有关部门举报、建议给予处理并要求告知处理结果的权利。</w:t>
      </w:r>
    </w:p>
    <w:p w14:paraId="3EA1DDE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第二条  甲方的责任</w:t>
      </w:r>
    </w:p>
    <w:p w14:paraId="066BEAC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甲方的领导和从事该工程项目的工作人员，在工程项目的事前、事中、事后应遵守以下规定：</w:t>
      </w:r>
    </w:p>
    <w:p w14:paraId="1BD8D80B">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（一）不准向乙方索要或接受回扣、礼金、有价证券、贵重物品和好处费、感谢费等；不准在乙方报销任何应由甲方或个人支付的费用。</w:t>
      </w:r>
    </w:p>
    <w:p w14:paraId="4D951DD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（二）不准参加乙方安排的超标准的宴请及健身、娱乐等活动；不得接受乙方提供的通讯工具、交通工具、高档办公用品等。</w:t>
      </w:r>
    </w:p>
    <w:p w14:paraId="6668376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（三）不准要求、暗示和接受乙方为个人装修住房、婚丧嫁娶、配偶子女的工作安排以及出国（境）、旅游等提供方便。</w:t>
      </w:r>
    </w:p>
    <w:p w14:paraId="772198F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（四）配偶、子女不得从事与乙方承包本工程有关的设备材料供应、工程分包、劳务等经济活动。</w:t>
      </w:r>
    </w:p>
    <w:p w14:paraId="2B96FF2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（五）不得以任何理由向乙方推荐分包单位或要求乙方购买项目合同规定以外的材料、设备和服务等。</w:t>
      </w:r>
    </w:p>
    <w:p w14:paraId="38BB2DD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第三条  乙方的责任</w:t>
      </w:r>
    </w:p>
    <w:p w14:paraId="18C52AFB">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乙方应与甲方保持正常的业务交往，按照有关法律法规和程序开展业务工作，严格执行工程建设的有关方针、政策，尤其是有关强制标准和规范，并遵守以下规定：</w:t>
      </w:r>
    </w:p>
    <w:p w14:paraId="765542E6">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（一）不准以任何理由向甲方及其工作人员行贿或赠送礼金、有价证券、贵重物品。</w:t>
      </w:r>
    </w:p>
    <w:p w14:paraId="0107219A">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（二）不准以任何名义为甲方及其工作人员报销应由对方或个人支付的费用。</w:t>
      </w:r>
    </w:p>
    <w:p w14:paraId="2C4DC48A">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（三）不准以任何理由安排甲方工作人员参加超标准宴请及健身、娱乐和旅游等活动。</w:t>
      </w:r>
    </w:p>
    <w:p w14:paraId="28E8F8D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（四）不准为甲方单位和工作人员购置或提供通讯工具、交通工具、高档办公用品和装修住房等。</w:t>
      </w:r>
    </w:p>
    <w:p w14:paraId="1E3A57E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第四条  违约责任</w:t>
      </w:r>
    </w:p>
    <w:p w14:paraId="369F9D2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甲方工作人员有违反第一、二条责任行为的，按照管理权限，依据有关法律法规和规定给予党纪、政纪处分或组织处理；涉嫌犯罪的，移交司法机关追究刑事责任；给乙方单位造成经济损失的，应予以赔偿。</w:t>
      </w:r>
    </w:p>
    <w:p w14:paraId="6DC230E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乙方工作人员有违反第一、三条责任行为的，按照管理权限，依据有关法律法规和规定给予党纪、政纪处分或组织处理；涉嫌犯罪的，移交司法机关追究刑事责任；给甲方单位造成经济损失的，应予以赔偿。情节严重的，甲方可以建议项目主管部门给予乙方一至三年内不得承包区级及以上工程的处罚。</w:t>
      </w:r>
    </w:p>
    <w:p w14:paraId="2052A31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（三）乙方如将部分辅助项目分包的，乙方有责任向分包单位交</w:t>
      </w:r>
      <w:r>
        <w:rPr>
          <w:rFonts w:hint="eastAsia" w:ascii="宋体" w:hAnsi="宋体" w:eastAsia="宋体" w:cs="宋体"/>
          <w:color w:val="auto"/>
          <w:sz w:val="24"/>
          <w:szCs w:val="24"/>
          <w:highlight w:val="none"/>
          <w:lang w:val="en-US" w:eastAsia="zh-CN"/>
        </w:rPr>
        <w:t>本合同</w:t>
      </w:r>
      <w:r>
        <w:rPr>
          <w:rFonts w:hint="eastAsia" w:ascii="宋体" w:hAnsi="宋体" w:eastAsia="宋体" w:cs="宋体"/>
          <w:color w:val="auto"/>
          <w:sz w:val="24"/>
          <w:szCs w:val="24"/>
          <w:highlight w:val="none"/>
        </w:rPr>
        <w:t>的具体内容，</w:t>
      </w:r>
      <w:r>
        <w:rPr>
          <w:rFonts w:hint="eastAsia" w:ascii="宋体" w:hAnsi="宋体" w:eastAsia="宋体" w:cs="宋体"/>
          <w:color w:val="auto"/>
          <w:sz w:val="24"/>
          <w:szCs w:val="24"/>
          <w:highlight w:val="none"/>
          <w:lang w:val="en-US" w:eastAsia="zh-CN"/>
        </w:rPr>
        <w:t>严格执行本合同之规定</w:t>
      </w:r>
      <w:r>
        <w:rPr>
          <w:rFonts w:hint="eastAsia" w:ascii="宋体" w:hAnsi="宋体" w:eastAsia="宋体" w:cs="宋体"/>
          <w:color w:val="auto"/>
          <w:sz w:val="24"/>
          <w:szCs w:val="24"/>
          <w:highlight w:val="none"/>
        </w:rPr>
        <w:t>，分包单位如有违反上述责任行为的，乙方将承担连带责任。</w:t>
      </w:r>
    </w:p>
    <w:p w14:paraId="43723DF9">
      <w:pPr>
        <w:spacing w:line="360" w:lineRule="auto"/>
        <w:ind w:firstLine="480" w:firstLineChars="200"/>
        <w:rPr>
          <w:rFonts w:hint="eastAsia" w:ascii="宋体" w:hAnsi="宋体" w:eastAsia="宋体" w:cs="宋体"/>
          <w:color w:val="auto"/>
          <w:sz w:val="24"/>
          <w:szCs w:val="24"/>
          <w:highlight w:val="none"/>
        </w:rPr>
      </w:pPr>
    </w:p>
    <w:p w14:paraId="09C5CB19">
      <w:pPr>
        <w:spacing w:line="360" w:lineRule="auto"/>
        <w:ind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甲方单位（盖章）：                         乙方单位（盖章）：</w:t>
      </w:r>
    </w:p>
    <w:p w14:paraId="49AA6CD3">
      <w:pPr>
        <w:spacing w:line="360" w:lineRule="auto"/>
        <w:ind w:firstLine="0" w:firstLineChars="0"/>
        <w:rPr>
          <w:rFonts w:hint="eastAsia" w:ascii="宋体" w:hAnsi="宋体" w:eastAsia="宋体" w:cs="宋体"/>
          <w:sz w:val="24"/>
          <w:szCs w:val="24"/>
          <w:lang w:val="en-US" w:eastAsia="zh-CN"/>
        </w:rPr>
      </w:pPr>
      <w:r>
        <w:rPr>
          <w:rFonts w:hint="eastAsia" w:hAnsi="宋体" w:cs="宋体"/>
          <w:sz w:val="24"/>
          <w:szCs w:val="24"/>
        </w:rPr>
        <w:t>法定（或授权）代表人签字</w:t>
      </w:r>
      <w:r>
        <w:rPr>
          <w:rFonts w:hint="eastAsia" w:ascii="宋体" w:hAnsi="宋体" w:eastAsia="宋体" w:cs="宋体"/>
          <w:sz w:val="24"/>
          <w:szCs w:val="24"/>
          <w:lang w:val="en-US" w:eastAsia="zh-CN"/>
        </w:rPr>
        <w:t xml:space="preserve">：                </w:t>
      </w:r>
      <w:r>
        <w:rPr>
          <w:rFonts w:hint="eastAsia" w:hAnsi="宋体" w:cs="宋体"/>
          <w:sz w:val="24"/>
          <w:szCs w:val="24"/>
        </w:rPr>
        <w:t>法定（或授权）代表人签字</w:t>
      </w:r>
      <w:r>
        <w:rPr>
          <w:rFonts w:hint="eastAsia" w:ascii="宋体" w:hAnsi="宋体" w:eastAsia="宋体" w:cs="宋体"/>
          <w:sz w:val="24"/>
          <w:szCs w:val="24"/>
          <w:lang w:val="en-US" w:eastAsia="zh-CN"/>
        </w:rPr>
        <w:t>：</w:t>
      </w:r>
    </w:p>
    <w:p w14:paraId="30EB4756">
      <w:pPr>
        <w:spacing w:line="360" w:lineRule="auto"/>
        <w:ind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     址：                               地     址：</w:t>
      </w:r>
    </w:p>
    <w:p w14:paraId="467778FF">
      <w:pPr>
        <w:spacing w:line="360" w:lineRule="auto"/>
        <w:ind w:firstLine="0" w:firstLineChars="0"/>
      </w:pPr>
      <w:r>
        <w:rPr>
          <w:rFonts w:hint="eastAsia" w:ascii="宋体" w:hAnsi="宋体" w:eastAsia="宋体" w:cs="宋体"/>
          <w:sz w:val="24"/>
          <w:szCs w:val="24"/>
          <w:lang w:val="en-US" w:eastAsia="zh-CN"/>
        </w:rPr>
        <w:t>电     话：                               电     话：</w:t>
      </w:r>
    </w:p>
    <w:sectPr>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1A1899"/>
    <w:multiLevelType w:val="singleLevel"/>
    <w:tmpl w:val="A71A1899"/>
    <w:lvl w:ilvl="0" w:tentative="0">
      <w:start w:val="2"/>
      <w:numFmt w:val="chineseCounting"/>
      <w:suff w:val="nothing"/>
      <w:lvlText w:val="%1、"/>
      <w:lvlJc w:val="left"/>
      <w:rPr>
        <w:rFonts w:hint="eastAsia"/>
      </w:rPr>
    </w:lvl>
  </w:abstractNum>
  <w:abstractNum w:abstractNumId="1">
    <w:nsid w:val="ED09A051"/>
    <w:multiLevelType w:val="singleLevel"/>
    <w:tmpl w:val="ED09A051"/>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C2A1F61"/>
    <w:rsid w:val="0CA57A5D"/>
    <w:rsid w:val="0DF45AE2"/>
    <w:rsid w:val="0E344BF5"/>
    <w:rsid w:val="0E935BFE"/>
    <w:rsid w:val="115347DA"/>
    <w:rsid w:val="11654CEF"/>
    <w:rsid w:val="12503FC7"/>
    <w:rsid w:val="14A70543"/>
    <w:rsid w:val="15EC3809"/>
    <w:rsid w:val="16571DC8"/>
    <w:rsid w:val="173122BD"/>
    <w:rsid w:val="18925339"/>
    <w:rsid w:val="1AE91E9E"/>
    <w:rsid w:val="1B733D66"/>
    <w:rsid w:val="1B78165A"/>
    <w:rsid w:val="1D24052A"/>
    <w:rsid w:val="1DA43B34"/>
    <w:rsid w:val="1F5601FB"/>
    <w:rsid w:val="20301191"/>
    <w:rsid w:val="211A411E"/>
    <w:rsid w:val="21F52D2D"/>
    <w:rsid w:val="222A0391"/>
    <w:rsid w:val="224F60AB"/>
    <w:rsid w:val="245076FF"/>
    <w:rsid w:val="24D665AE"/>
    <w:rsid w:val="26EB3E67"/>
    <w:rsid w:val="27E134C6"/>
    <w:rsid w:val="28051B4F"/>
    <w:rsid w:val="28B44BC4"/>
    <w:rsid w:val="28E17D1E"/>
    <w:rsid w:val="2D76092E"/>
    <w:rsid w:val="2DFE26D1"/>
    <w:rsid w:val="2EEB7445"/>
    <w:rsid w:val="3071362F"/>
    <w:rsid w:val="32E5541C"/>
    <w:rsid w:val="375B2943"/>
    <w:rsid w:val="398A12C3"/>
    <w:rsid w:val="3A231E3E"/>
    <w:rsid w:val="3CC13740"/>
    <w:rsid w:val="3CC82742"/>
    <w:rsid w:val="3DD877E7"/>
    <w:rsid w:val="3E1A3557"/>
    <w:rsid w:val="3F782104"/>
    <w:rsid w:val="3FF16AF1"/>
    <w:rsid w:val="410E414B"/>
    <w:rsid w:val="41DF4BEC"/>
    <w:rsid w:val="44B352D2"/>
    <w:rsid w:val="45AA0B67"/>
    <w:rsid w:val="461E0BEE"/>
    <w:rsid w:val="463916A0"/>
    <w:rsid w:val="484C07B1"/>
    <w:rsid w:val="48C651E6"/>
    <w:rsid w:val="4A196FDF"/>
    <w:rsid w:val="4A69389D"/>
    <w:rsid w:val="4C8A0B18"/>
    <w:rsid w:val="4E4C1D55"/>
    <w:rsid w:val="4E4D5343"/>
    <w:rsid w:val="4F132029"/>
    <w:rsid w:val="504D156B"/>
    <w:rsid w:val="50BF5CCD"/>
    <w:rsid w:val="51064B72"/>
    <w:rsid w:val="520115EE"/>
    <w:rsid w:val="52A5743C"/>
    <w:rsid w:val="52D3730D"/>
    <w:rsid w:val="533E387A"/>
    <w:rsid w:val="55D105CE"/>
    <w:rsid w:val="56951575"/>
    <w:rsid w:val="588767A0"/>
    <w:rsid w:val="5A566F12"/>
    <w:rsid w:val="5D4F6922"/>
    <w:rsid w:val="5DF300E3"/>
    <w:rsid w:val="5FDE7C96"/>
    <w:rsid w:val="60DD0FD5"/>
    <w:rsid w:val="652C579B"/>
    <w:rsid w:val="65A11057"/>
    <w:rsid w:val="663B5941"/>
    <w:rsid w:val="668A66FA"/>
    <w:rsid w:val="68822739"/>
    <w:rsid w:val="693B781C"/>
    <w:rsid w:val="6B76151E"/>
    <w:rsid w:val="6CF03552"/>
    <w:rsid w:val="6CFC68D7"/>
    <w:rsid w:val="6E0B0643"/>
    <w:rsid w:val="6E2A4841"/>
    <w:rsid w:val="6E3851B0"/>
    <w:rsid w:val="6EBF5413"/>
    <w:rsid w:val="6F0F5F11"/>
    <w:rsid w:val="6F141779"/>
    <w:rsid w:val="70C25205"/>
    <w:rsid w:val="70D867D7"/>
    <w:rsid w:val="722F459F"/>
    <w:rsid w:val="730668DC"/>
    <w:rsid w:val="75297601"/>
    <w:rsid w:val="755B4AEE"/>
    <w:rsid w:val="75796F4B"/>
    <w:rsid w:val="774E3EF1"/>
    <w:rsid w:val="78230C03"/>
    <w:rsid w:val="79A100AE"/>
    <w:rsid w:val="79DB010B"/>
    <w:rsid w:val="7D4F60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30"/>
      <w:szCs w:val="44"/>
    </w:rPr>
  </w:style>
  <w:style w:type="paragraph" w:styleId="3">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3">
    <w:name w:val="Default Paragraph Font"/>
    <w:autoRedefine/>
    <w:semiHidden/>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4">
    <w:name w:val="annotation text"/>
    <w:basedOn w:val="1"/>
    <w:autoRedefine/>
    <w:qFormat/>
    <w:uiPriority w:val="0"/>
    <w:pPr>
      <w:jc w:val="left"/>
    </w:pPr>
  </w:style>
  <w:style w:type="paragraph" w:styleId="5">
    <w:name w:val="Body Text"/>
    <w:basedOn w:val="1"/>
    <w:unhideWhenUsed/>
    <w:qFormat/>
    <w:uiPriority w:val="0"/>
    <w:pPr>
      <w:spacing w:after="120"/>
    </w:pPr>
  </w:style>
  <w:style w:type="paragraph" w:styleId="6">
    <w:name w:val="Body Text Indent"/>
    <w:basedOn w:val="1"/>
    <w:autoRedefine/>
    <w:qFormat/>
    <w:uiPriority w:val="0"/>
    <w:pPr>
      <w:spacing w:line="360" w:lineRule="auto"/>
      <w:ind w:left="1"/>
    </w:pPr>
    <w:rPr>
      <w:sz w:val="24"/>
    </w:rPr>
  </w:style>
  <w:style w:type="paragraph" w:styleId="7">
    <w:name w:val="Plain Text"/>
    <w:basedOn w:val="1"/>
    <w:qFormat/>
    <w:uiPriority w:val="0"/>
    <w:rPr>
      <w:rFonts w:ascii="宋体" w:hAnsi="Courier New"/>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10">
    <w:name w:val="Normal (Web)"/>
    <w:basedOn w:val="1"/>
    <w:autoRedefine/>
    <w:qFormat/>
    <w:uiPriority w:val="0"/>
    <w:pPr>
      <w:spacing w:beforeAutospacing="1" w:afterAutospacing="1"/>
      <w:jc w:val="left"/>
    </w:pPr>
    <w:rPr>
      <w:rFonts w:ascii="Calibri" w:hAnsi="Calibri" w:eastAsia="宋体"/>
      <w:kern w:val="0"/>
      <w:sz w:val="24"/>
      <w:szCs w:val="24"/>
    </w:rPr>
  </w:style>
  <w:style w:type="paragraph" w:styleId="11">
    <w:name w:val="Body Text First Indent"/>
    <w:basedOn w:val="5"/>
    <w:qFormat/>
    <w:uiPriority w:val="0"/>
    <w:pPr>
      <w:ind w:firstLine="420" w:firstLineChars="100"/>
    </w:pPr>
    <w:rPr>
      <w:rFonts w:ascii="Times New Roman" w:hAnsi="Times New Roman"/>
      <w:szCs w:val="24"/>
    </w:rPr>
  </w:style>
  <w:style w:type="character" w:styleId="14">
    <w:name w:val="page number"/>
    <w:qFormat/>
    <w:uiPriority w:val="0"/>
  </w:style>
  <w:style w:type="paragraph" w:customStyle="1" w:styleId="15">
    <w:name w:val="List Paragraph"/>
    <w:basedOn w:val="1"/>
    <w:autoRedefine/>
    <w:qFormat/>
    <w:uiPriority w:val="0"/>
    <w:pPr>
      <w:ind w:firstLine="420" w:firstLineChars="200"/>
    </w:pPr>
    <w:rPr>
      <w:rFonts w:ascii="Calibri" w:hAnsi="Calibri"/>
      <w:szCs w:val="22"/>
    </w:rPr>
  </w:style>
  <w:style w:type="paragraph" w:customStyle="1" w:styleId="16">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7">
    <w:name w:val="p0"/>
    <w:basedOn w:val="1"/>
    <w:autoRedefine/>
    <w:unhideWhenUsed/>
    <w:qFormat/>
    <w:uiPriority w:val="99"/>
    <w:pPr>
      <w:widowControl/>
    </w:pPr>
    <w:rPr>
      <w:rFonts w:hint="eastAsi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1626</Words>
  <Characters>1783</Characters>
  <Lines>0</Lines>
  <Paragraphs>0</Paragraphs>
  <TotalTime>0</TotalTime>
  <ScaleCrop>false</ScaleCrop>
  <LinksUpToDate>false</LinksUpToDate>
  <CharactersWithSpaces>1786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大象滑滑梯</cp:lastModifiedBy>
  <dcterms:modified xsi:type="dcterms:W3CDTF">2026-06-05T00:50:52Z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D286F571AB1E4A0CA7FF948556377CE1</vt:lpwstr>
  </property>
  <property fmtid="{D5CDD505-2E9C-101B-9397-08002B2CF9AE}" pid="4" name="KSOTemplateDocerSaveRecord">
    <vt:lpwstr>eyJoZGlkIjoiYzQ3MzJmODVmNmFlYzI4OWVkNzBmYTBkOTQxYjNlOTEiLCJ1c2VySWQiOiIzNTgyOTgzMzAifQ==</vt:lpwstr>
  </property>
</Properties>
</file>